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tcPr>
          <w:p>
            <w:pPr>
              <w:keepNext w:val="0"/>
              <w:keepLines w:val="0"/>
              <w:pageBreakBefore w:val="0"/>
              <w:widowControl w:val="0"/>
              <w:kinsoku/>
              <w:wordWrap/>
              <w:overflowPunct/>
              <w:topLinePunct w:val="0"/>
              <w:autoSpaceDE/>
              <w:autoSpaceDN/>
              <w:bidi w:val="0"/>
              <w:adjustRightInd/>
              <w:snapToGrid/>
              <w:spacing w:before="1118" w:beforeLines="350" w:after="799" w:afterLines="250" w:line="480" w:lineRule="auto"/>
              <w:textAlignment w:val="auto"/>
              <w:rPr>
                <w:rFonts w:ascii="仿宋" w:hAnsi="仿宋" w:eastAsia="仿宋" w:cs="仿宋"/>
                <w:color w:val="FF0000"/>
                <w:sz w:val="32"/>
                <w:szCs w:val="32"/>
                <w:vertAlign w:val="baseline"/>
              </w:rPr>
            </w:pPr>
            <w:r>
              <w:rPr>
                <w:rFonts w:hint="eastAsia" w:ascii="方正小标宋简体" w:hAnsi="方正小标宋简体" w:eastAsia="方正小标宋简体" w:cs="方正小标宋简体"/>
                <w:color w:val="FF0000"/>
                <w:spacing w:val="-40"/>
                <w:sz w:val="96"/>
                <w:szCs w:val="96"/>
              </w:rPr>
              <w:t>泉州职业技术大学文件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仿宋" w:hAnsi="仿宋" w:eastAsia="仿宋" w:cs="仿宋"/>
                <w:color w:val="FF0000"/>
                <w:sz w:val="32"/>
                <w:szCs w:val="32"/>
                <w:vertAlign w:val="baseline"/>
              </w:rPr>
            </w:pPr>
            <w:r>
              <w:rPr>
                <w:rFonts w:hint="eastAsia" w:ascii="仿宋_GB2312" w:hAnsi="仿宋_GB2312" w:eastAsia="仿宋_GB2312" w:cs="仿宋_GB2312"/>
                <w:sz w:val="32"/>
              </w:rPr>
              <w:t>泉大</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49</w:t>
            </w:r>
            <w:r>
              <w:rPr>
                <w:rFonts w:hint="eastAsia" w:ascii="仿宋_GB2312" w:hAnsi="仿宋_GB2312" w:eastAsia="仿宋_GB2312" w:cs="仿宋_GB2312"/>
                <w:sz w:val="32"/>
              </w:rPr>
              <w:t>号</w:t>
            </w:r>
          </w:p>
        </w:tc>
      </w:tr>
    </w:tbl>
    <w:p>
      <w:pPr>
        <w:keepNext w:val="0"/>
        <w:keepLines w:val="0"/>
        <w:pageBreakBefore w:val="0"/>
        <w:widowControl w:val="0"/>
        <w:kinsoku/>
        <w:wordWrap/>
        <w:overflowPunct/>
        <w:topLinePunct w:val="0"/>
        <w:autoSpaceDE/>
        <w:autoSpaceDN/>
        <w:bidi w:val="0"/>
        <w:adjustRightInd/>
        <w:snapToGrid/>
        <w:spacing w:before="625" w:beforeLines="200" w:line="600" w:lineRule="exact"/>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mc:AlternateContent>
          <mc:Choice Requires="wps">
            <w:drawing>
              <wp:anchor distT="0" distB="0" distL="114300" distR="114300" simplePos="0" relativeHeight="251660288" behindDoc="0" locked="0" layoutInCell="1" allowOverlap="1">
                <wp:simplePos x="0" y="0"/>
                <wp:positionH relativeFrom="column">
                  <wp:posOffset>6350</wp:posOffset>
                </wp:positionH>
                <wp:positionV relativeFrom="paragraph">
                  <wp:posOffset>51435</wp:posOffset>
                </wp:positionV>
                <wp:extent cx="5615940" cy="28575"/>
                <wp:effectExtent l="6350" t="6350" r="16510" b="22225"/>
                <wp:wrapNone/>
                <wp:docPr id="4" name="矩形 4"/>
                <wp:cNvGraphicFramePr/>
                <a:graphic xmlns:a="http://schemas.openxmlformats.org/drawingml/2006/main">
                  <a:graphicData uri="http://schemas.microsoft.com/office/word/2010/wordprocessingShape">
                    <wps:wsp>
                      <wps:cNvSpPr/>
                      <wps:spPr>
                        <a:xfrm flipV="1">
                          <a:off x="772795" y="2382520"/>
                          <a:ext cx="5615940" cy="285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0.5pt;margin-top:4.05pt;height:2.25pt;width:442.2pt;z-index:251660288;v-text-anchor:middle;mso-width-relative:page;mso-height-relative:page;" fillcolor="#FF0000" filled="t" stroked="t" coordsize="21600,21600" o:gfxdata="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kVubDWAAAABgEAAA8AAAAAAAAA&#10;AQAgAAAAIgAAAGRycy9kb3ducmV2LnhtbFBLAQIUABQAAAAIAIdO4kCLlEZohQIAABMFAAAOAAAA&#10;AAAAAAEAIAAAACUBAABkcnMvZTJvRG9jLnhtbFBLBQYAAAAABgAGAFkBAAAcBgAAAAA=&#10;">
                <v:fill on="t" focussize="0,0"/>
                <v:stroke weight="1pt" color="#FF0000 [3204]" miterlimit="8" joinstyle="miter"/>
                <v:imagedata o:title=""/>
                <o:lock v:ext="edit" aspectratio="f"/>
                <v:textbox>
                  <w:txbxContent>
                    <w:p>
                      <w:pPr>
                        <w:jc w:val="center"/>
                      </w:pPr>
                    </w:p>
                  </w:txbxContent>
                </v:textbox>
              </v:rect>
            </w:pict>
          </mc:Fallback>
        </mc:AlternateContent>
      </w:r>
      <w:r>
        <w:rPr>
          <w:rFonts w:hint="eastAsia" w:ascii="方正小标宋简体" w:hAnsi="方正小标宋简体" w:eastAsia="方正小标宋简体" w:cs="方正小标宋简体"/>
          <w:sz w:val="44"/>
          <w:szCs w:val="44"/>
          <w:lang w:val="en-US" w:eastAsia="zh-CN"/>
        </w:rPr>
        <w:t>关于印发《泉州职业技术大学大学生科研助理</w:t>
      </w:r>
    </w:p>
    <w:p>
      <w:pPr>
        <w:keepNext w:val="0"/>
        <w:keepLines w:val="0"/>
        <w:pageBreakBefore w:val="0"/>
        <w:widowControl w:val="0"/>
        <w:kinsoku/>
        <w:wordWrap/>
        <w:overflowPunct/>
        <w:topLinePunct w:val="0"/>
        <w:autoSpaceDE/>
        <w:autoSpaceDN/>
        <w:bidi w:val="0"/>
        <w:adjustRightInd/>
        <w:snapToGrid/>
        <w:spacing w:after="320" w:afterLines="100" w:line="600" w:lineRule="exact"/>
        <w:jc w:val="center"/>
        <w:textAlignment w:val="auto"/>
        <w:outlineLvl w:val="9"/>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培养计划（试行）》的通知</w:t>
      </w:r>
    </w:p>
    <w:p>
      <w:pPr>
        <w:keepNext w:val="0"/>
        <w:keepLines w:val="0"/>
        <w:pageBreakBefore w:val="0"/>
        <w:widowControl w:val="0"/>
        <w:kinsoku/>
        <w:wordWrap/>
        <w:overflowPunct/>
        <w:topLinePunct w:val="0"/>
        <w:autoSpaceDE/>
        <w:autoSpaceDN/>
        <w:bidi w:val="0"/>
        <w:adjustRightInd/>
        <w:snapToGrid/>
        <w:spacing w:before="320" w:beforeLines="100" w:line="560" w:lineRule="exact"/>
        <w:ind w:left="0" w:leftChars="0" w:firstLine="0" w:firstLineChars="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各有关单位</w:t>
      </w:r>
      <w:r>
        <w:rPr>
          <w:rFonts w:hint="eastAsia" w:ascii="仿宋_GB2312" w:hAnsi="仿宋_GB2312" w:eastAsia="仿宋_GB2312" w:cs="仿宋_GB2312"/>
          <w:sz w:val="32"/>
          <w:szCs w:val="32"/>
          <w:highlight w:val="none"/>
          <w:lang w:eastAsia="zh-CN"/>
        </w:rPr>
        <w:t>：</w:t>
      </w:r>
    </w:p>
    <w:p>
      <w:pPr>
        <w:pStyle w:val="6"/>
        <w:keepNext w:val="0"/>
        <w:keepLines w:val="0"/>
        <w:pageBreakBefore w:val="0"/>
        <w:widowControl w:val="0"/>
        <w:kinsoku/>
        <w:wordWrap/>
        <w:overflowPunct/>
        <w:topLinePunct w:val="0"/>
        <w:autoSpaceDE/>
        <w:autoSpaceDN/>
        <w:bidi w:val="0"/>
        <w:adjustRightInd/>
        <w:snapToGrid/>
        <w:spacing w:after="0" w:line="560" w:lineRule="exact"/>
        <w:ind w:left="0" w:leftChars="0" w:firstLine="624"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为进一步激发学生对科学研究的兴趣，形成教学科研互动的人才培养新模式，全面提升大学生的综合素质与科研创新能力，学校特制定《泉州职业技术大学大学生科研助理培养计划（试行）》，现印发给你们，请认真贯彻落实。</w:t>
      </w:r>
    </w:p>
    <w:p>
      <w:pPr>
        <w:keepNext w:val="0"/>
        <w:keepLines w:val="0"/>
        <w:pageBreakBefore w:val="0"/>
        <w:widowControl w:val="0"/>
        <w:kinsoku/>
        <w:wordWrap/>
        <w:overflowPunct/>
        <w:topLinePunct w:val="0"/>
        <w:autoSpaceDE/>
        <w:autoSpaceDN/>
        <w:bidi w:val="0"/>
        <w:adjustRightInd/>
        <w:snapToGrid/>
        <w:spacing w:before="958" w:beforeLines="300" w:line="560" w:lineRule="exact"/>
        <w:ind w:firstLine="5148" w:firstLineChars="165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泉州职业技术大学</w:t>
      </w:r>
    </w:p>
    <w:p>
      <w:pPr>
        <w:keepNext w:val="0"/>
        <w:keepLines w:val="0"/>
        <w:pageBreakBefore w:val="0"/>
        <w:widowControl w:val="0"/>
        <w:kinsoku/>
        <w:wordWrap/>
        <w:overflowPunct/>
        <w:topLinePunct w:val="0"/>
        <w:autoSpaceDE/>
        <w:autoSpaceDN/>
        <w:bidi/>
        <w:adjustRightInd/>
        <w:snapToGrid/>
        <w:spacing w:line="560" w:lineRule="exact"/>
        <w:ind w:firstLine="1248" w:firstLineChars="4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2022年6月1日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sz w:val="32"/>
          <w:szCs w:val="32"/>
          <w:lang w:eastAsia="zh-CN"/>
        </w:rPr>
      </w:pPr>
    </w:p>
    <w:p>
      <w:pPr>
        <w:pStyle w:val="6"/>
        <w:keepNext w:val="0"/>
        <w:keepLines w:val="0"/>
        <w:pageBreakBefore w:val="0"/>
        <w:widowControl w:val="0"/>
        <w:kinsoku/>
        <w:wordWrap/>
        <w:overflowPunct/>
        <w:topLinePunct w:val="0"/>
        <w:autoSpaceDE/>
        <w:autoSpaceDN/>
        <w:bidi w:val="0"/>
        <w:adjustRightInd/>
        <w:snapToGrid/>
        <w:spacing w:after="0" w:line="60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泉州职业技术大学大学生科研助理培养计划</w:t>
      </w:r>
    </w:p>
    <w:p>
      <w:pPr>
        <w:pStyle w:val="6"/>
        <w:keepNext w:val="0"/>
        <w:keepLines w:val="0"/>
        <w:pageBreakBefore w:val="0"/>
        <w:widowControl w:val="0"/>
        <w:kinsoku/>
        <w:wordWrap/>
        <w:overflowPunct/>
        <w:topLinePunct w:val="0"/>
        <w:autoSpaceDE/>
        <w:autoSpaceDN/>
        <w:bidi w:val="0"/>
        <w:adjustRightInd/>
        <w:snapToGrid/>
        <w:spacing w:after="320" w:afterLines="100" w:line="600" w:lineRule="exact"/>
        <w:ind w:left="0" w:leftChars="0" w:firstLine="0" w:firstLineChars="0"/>
        <w:jc w:val="center"/>
        <w:textAlignment w:val="auto"/>
        <w:rPr>
          <w:rFonts w:hint="eastAsia" w:ascii="黑体" w:hAnsi="黑体" w:eastAsia="黑体" w:cs="黑体"/>
          <w:sz w:val="44"/>
          <w:szCs w:val="44"/>
          <w:lang w:val="en-US" w:eastAsia="zh-CN"/>
        </w:rPr>
      </w:pPr>
      <w:r>
        <w:rPr>
          <w:rFonts w:hint="eastAsia" w:ascii="方正小标宋简体" w:hAnsi="方正小标宋简体" w:eastAsia="方正小标宋简体" w:cs="方正小标宋简体"/>
          <w:sz w:val="44"/>
          <w:szCs w:val="44"/>
          <w:lang w:val="en-US" w:eastAsia="zh-CN"/>
        </w:rPr>
        <w:t>（试行）</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我校作为全国首批职业本科试点高校，以“身体健康心灵美，就业创业能力强，服务社会贡献大”为总体培养目标，培养具备“一宽三强”能力（宽知识面，强职业素养，强创新创业能力，强终身学习能力）的高层次技术技能人才。</w:t>
      </w:r>
      <w:r>
        <w:rPr>
          <w:rFonts w:hint="eastAsia" w:ascii="仿宋_GB2312" w:hAnsi="仿宋_GB2312" w:eastAsia="仿宋_GB2312" w:cs="仿宋_GB2312"/>
          <w:b/>
          <w:bCs/>
          <w:sz w:val="32"/>
          <w:szCs w:val="32"/>
          <w:lang w:eastAsia="zh-CN"/>
        </w:rPr>
        <w:t>大学生科研助理培养计划</w:t>
      </w:r>
      <w:r>
        <w:rPr>
          <w:rFonts w:hint="eastAsia" w:ascii="仿宋_GB2312" w:hAnsi="仿宋_GB2312" w:eastAsia="仿宋_GB2312" w:cs="仿宋_GB2312"/>
          <w:sz w:val="32"/>
          <w:szCs w:val="32"/>
          <w:lang w:eastAsia="zh-CN"/>
        </w:rPr>
        <w:t>（Student Research Assistant Training Program）简称</w:t>
      </w:r>
      <w:r>
        <w:rPr>
          <w:rFonts w:hint="eastAsia" w:ascii="仿宋_GB2312" w:hAnsi="仿宋_GB2312" w:eastAsia="仿宋_GB2312" w:cs="仿宋_GB2312"/>
          <w:b/>
          <w:bCs/>
          <w:sz w:val="32"/>
          <w:szCs w:val="32"/>
          <w:lang w:eastAsia="zh-CN"/>
        </w:rPr>
        <w:t>SRATP</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eastAsia="zh-CN"/>
        </w:rPr>
        <w:t>以培养学生创新意识和解决复杂工程问题的能力为主要目标，由学生根据科研兴趣及专业方向提出申请，在教师的指导下，强化专业技术技能，开展科技创新。“百名科研助理培养计划”，为具有一定科研能力和科研热情的大学生提供参与科研项目的实践机会，激发学生对科学研究的兴趣，形成教学科研互动的人才培养新模式，全面提升大学生的综合素质与科研创新能力。具体实施方案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eastAsia" w:ascii="楷体" w:hAnsi="楷体" w:eastAsia="楷体" w:cs="楷体"/>
          <w:b/>
          <w:bCs/>
          <w:sz w:val="32"/>
          <w:szCs w:val="32"/>
          <w:lang w:val="en-US" w:eastAsia="zh-CN"/>
        </w:rPr>
      </w:pPr>
      <w:r>
        <w:rPr>
          <w:rFonts w:hint="eastAsia" w:ascii="黑体" w:hAnsi="黑体" w:eastAsia="黑体" w:cs="黑体"/>
          <w:sz w:val="32"/>
          <w:szCs w:val="32"/>
          <w:lang w:eastAsia="zh-CN"/>
        </w:rPr>
        <w:t>一、管理机制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科研助理管理采用科研处监管和导师--学生自治相结合的管理方式。科研处遴选指导教师并做好动员工作，为学生提供参与教师科研的实践机会和岗位，组织选拔科研助理。教师申请招聘科研助理，经科研处批准后，通过</w:t>
      </w:r>
      <w:bookmarkStart w:id="1" w:name="_GoBack"/>
      <w:bookmarkEnd w:id="1"/>
      <w:r>
        <w:rPr>
          <w:rFonts w:hint="eastAsia" w:ascii="仿宋_GB2312" w:hAnsi="仿宋_GB2312" w:eastAsia="仿宋_GB2312" w:cs="仿宋_GB2312"/>
          <w:sz w:val="32"/>
          <w:szCs w:val="32"/>
          <w:lang w:eastAsia="zh-CN"/>
        </w:rPr>
        <w:t>教师与学生双向选择的方式确定学生科研助理的人选，并采用导师考核和科研处考核相结合的方式来保障学生科研助理真实有效的实施。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eastAsia" w:ascii="楷体" w:hAnsi="楷体" w:eastAsia="楷体" w:cs="楷体"/>
          <w:b/>
          <w:bCs/>
          <w:sz w:val="32"/>
          <w:szCs w:val="32"/>
          <w:lang w:val="en-US" w:eastAsia="zh-CN"/>
        </w:rPr>
      </w:pPr>
      <w:r>
        <w:rPr>
          <w:rFonts w:hint="eastAsia" w:ascii="黑体" w:hAnsi="黑体" w:eastAsia="黑体" w:cs="黑体"/>
          <w:sz w:val="32"/>
          <w:szCs w:val="32"/>
          <w:lang w:eastAsia="zh-CN"/>
        </w:rPr>
        <w:t>二、申请条件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1.科研助理培养计划面向全体在校大学生。</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2.具有较高的思想政治素质，身体状况佳，道德品质良好，无违反校纪校规行为。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3.责任心强，积极热情，能够保证科研工作时间，具备较强的语言表达和沟通交流能力。</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4.学习成绩优良，最近一个学年的期末成绩排名在班级前30%。</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5.具有一定的文献检索、写作和综合分析能力，具有一定的实验研究能力。</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6.能定期填写“工作过程记录”，并由指导教师审核。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eastAsia" w:ascii="楷体" w:hAnsi="楷体" w:eastAsia="楷体" w:cs="楷体"/>
          <w:b/>
          <w:bCs/>
          <w:sz w:val="32"/>
          <w:szCs w:val="32"/>
          <w:lang w:val="en-US" w:eastAsia="zh-CN"/>
        </w:rPr>
      </w:pPr>
      <w:r>
        <w:rPr>
          <w:rFonts w:hint="eastAsia" w:ascii="黑体" w:hAnsi="黑体" w:eastAsia="黑体" w:cs="黑体"/>
          <w:sz w:val="32"/>
          <w:szCs w:val="32"/>
          <w:lang w:eastAsia="zh-CN"/>
        </w:rPr>
        <w:t>三、申请途径及选拔流程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eastAsia" w:ascii="楷体" w:hAnsi="楷体" w:eastAsia="楷体" w:cs="楷体"/>
          <w:b/>
          <w:bCs/>
          <w:sz w:val="32"/>
          <w:szCs w:val="32"/>
          <w:lang w:val="en-US" w:eastAsia="zh-CN"/>
        </w:rPr>
      </w:pPr>
      <w:r>
        <w:rPr>
          <w:rFonts w:hint="eastAsia" w:ascii="楷体" w:hAnsi="楷体" w:eastAsia="楷体" w:cs="楷体"/>
          <w:b/>
          <w:bCs/>
          <w:sz w:val="32"/>
          <w:szCs w:val="32"/>
          <w:lang w:eastAsia="zh-CN"/>
        </w:rPr>
        <w:t>（一）申请途径</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4"/>
        <w:gridCol w:w="3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申请途径</w:t>
            </w:r>
          </w:p>
        </w:tc>
        <w:tc>
          <w:tcPr>
            <w:tcW w:w="32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招纳人数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各类工作室</w:t>
            </w:r>
          </w:p>
        </w:tc>
        <w:tc>
          <w:tcPr>
            <w:tcW w:w="32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 1个/工作室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教师科技创新团队</w:t>
            </w:r>
          </w:p>
        </w:tc>
        <w:tc>
          <w:tcPr>
            <w:tcW w:w="32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 1个/团队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教师科研项目</w:t>
            </w:r>
          </w:p>
        </w:tc>
        <w:tc>
          <w:tcPr>
            <w:tcW w:w="32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 1个/项目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科研平台</w:t>
            </w:r>
          </w:p>
        </w:tc>
        <w:tc>
          <w:tcPr>
            <w:tcW w:w="32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 4个/平台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科技特派员团队</w:t>
            </w:r>
          </w:p>
        </w:tc>
        <w:tc>
          <w:tcPr>
            <w:tcW w:w="32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 1个/团队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大学生创新创业训练计划项目</w:t>
            </w:r>
          </w:p>
        </w:tc>
        <w:tc>
          <w:tcPr>
            <w:tcW w:w="32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 1个/项目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项目聘用</w:t>
            </w:r>
          </w:p>
        </w:tc>
        <w:tc>
          <w:tcPr>
            <w:tcW w:w="32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color w:val="auto"/>
                <w:sz w:val="28"/>
                <w:szCs w:val="28"/>
                <w:highlight w:val="none"/>
                <w:vertAlign w:val="baseline"/>
                <w:lang w:val="en-US" w:eastAsia="zh-CN"/>
              </w:rPr>
            </w:pPr>
            <w:r>
              <w:rPr>
                <w:rFonts w:hint="eastAsia" w:ascii="仿宋_GB2312" w:hAnsi="仿宋_GB2312" w:eastAsia="仿宋_GB2312" w:cs="仿宋_GB2312"/>
                <w:color w:val="auto"/>
                <w:sz w:val="28"/>
                <w:szCs w:val="28"/>
                <w:highlight w:val="none"/>
                <w:vertAlign w:val="baseline"/>
                <w:lang w:val="en-US" w:eastAsia="zh-CN"/>
              </w:rPr>
              <w:t>≥ 1个/项目</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eastAsia" w:ascii="楷体" w:hAnsi="楷体" w:eastAsia="楷体" w:cs="楷体"/>
          <w:b/>
          <w:bCs/>
          <w:sz w:val="32"/>
          <w:szCs w:val="32"/>
          <w:lang w:val="en-US" w:eastAsia="zh-CN"/>
        </w:rPr>
      </w:pPr>
      <w:r>
        <w:rPr>
          <w:rFonts w:hint="eastAsia" w:ascii="楷体" w:hAnsi="楷体" w:eastAsia="楷体" w:cs="楷体"/>
          <w:b/>
          <w:bCs/>
          <w:sz w:val="32"/>
          <w:szCs w:val="32"/>
          <w:lang w:eastAsia="zh-CN"/>
        </w:rPr>
        <w:t>（二）选拔流程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1.个人自荐。申请人全面审视自我，主动寻找自身闪光点，符合申请条件的学生可自行与相关专业教师取得联系。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2.导师选任。导师根据学生平时表现，征得学生同意后，可自行选用学生科研助理。</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3.学院推荐。学院根据申报者的综合表现，给出相应的评审意见，确定推荐人员。</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有意向的学生填写《泉州职业技术大学科研助理培养计划报名表》，科研导师可自行组织面试，择优录用后，将报名表交至科研处备案。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eastAsia" w:ascii="楷体" w:hAnsi="楷体" w:eastAsia="楷体" w:cs="楷体"/>
          <w:b/>
          <w:bCs/>
          <w:sz w:val="32"/>
          <w:szCs w:val="32"/>
          <w:lang w:val="en-US" w:eastAsia="zh-CN"/>
        </w:rPr>
      </w:pPr>
      <w:r>
        <w:rPr>
          <w:rFonts w:hint="eastAsia" w:ascii="黑体" w:hAnsi="黑体" w:eastAsia="黑体" w:cs="黑体"/>
          <w:sz w:val="32"/>
          <w:szCs w:val="32"/>
          <w:lang w:eastAsia="zh-CN"/>
        </w:rPr>
        <w:t>四、主要职责</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1.在完成学业的基础上开展科研工作，将专业知识学习与科研工作相结合，促进学习与科研，也为做好毕业设计或学位论文提前奠定科研基础。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加入科研导师的项目组，协助导师进行相关研究工作，包括文献搜索、资料整理、实地调研、技术研发、参与论文和研究报告的撰写等；或在科研导师的指导下，完成大学生创新创业训练计划项目的申报、研究与结题。</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3.按要求完成科研导师的助研工作安排，定期与科研导师进行沟通，并保证沟通渠道的通畅。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4.认真做好《科研日志》的记录，主动及时接受指导教师的检查。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五、培养要求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1.科研导师应为每位科研助理制定相应的培养计划。</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2.科研导师对科研助理的培训，每周不小于4小时，并做好相关指导记录。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3.科研导师要重视对科研助理的思想品德教育和表达能力、团队协作能力、写作能力、独立完成任务的能力等科研能力的培养。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4.每位科研导师培养科研助理的人数一般不超过3人。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5.科研导师要合理安排科研助理的工作量，不得影响学生正常上课。</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6.科研导师应严格要求科研助理，规范科研行为，确保其人身安全。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7.科研处、导师、学生助理三方明确研究内容和任务，保持工作研讨与交流。</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8.定期检查科研助理的《科研日志》记录，并对其进行考核；及时提交科研助理的科研成果，申请科研业绩分认定。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eastAsia" w:ascii="楷体" w:hAnsi="楷体" w:eastAsia="楷体" w:cs="楷体"/>
          <w:b/>
          <w:bCs/>
          <w:sz w:val="32"/>
          <w:szCs w:val="32"/>
          <w:lang w:val="en-US" w:eastAsia="zh-CN"/>
        </w:rPr>
      </w:pPr>
      <w:r>
        <w:rPr>
          <w:rFonts w:hint="eastAsia" w:ascii="黑体" w:hAnsi="黑体" w:eastAsia="黑体" w:cs="黑体"/>
          <w:sz w:val="32"/>
          <w:szCs w:val="32"/>
          <w:lang w:eastAsia="zh-CN"/>
        </w:rPr>
        <w:t>六、考核要求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1.科研助理的工作考核分为阶段性考核和终期考核。</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2.阶段性考核由科研导师负责，在每个学期的期末开展，根据学生的工作表现分为合格与不合格。</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终期考核由科研导师与科研处共同完成，在大四上学期期末开展。终期考核成绩分为两个档次：第一层次是合格，积极配合科研导师完成相关工作量，助研工作表现良好，导师同意考核合格。第二层次是优秀，在合格的基础上，至少发表学术论文1篇或取得知识产权1项，或获得创新创业、数据建模、软件设计等科研创新类奖励1次。助研工作表现由科研导师负责评价，学术论文和科研奖励由科研处进行审核，并填写《科研助理终期考核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科研助理有以下任一情况发生的，应停止聘用：阶段性考核不合格；获聘后因任何原因中止或终止学业；因特殊原因或身体健康状况，不适合继续从事助研工作；获聘学生因从事助研工作严重影响学业；研究成果存在剽窃、伪造数据或其他违背学术道德行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eastAsia" w:ascii="楷体" w:hAnsi="楷体" w:eastAsia="楷体" w:cs="楷体"/>
          <w:b/>
          <w:bCs/>
          <w:sz w:val="32"/>
          <w:szCs w:val="32"/>
          <w:lang w:val="en-US" w:eastAsia="zh-CN"/>
        </w:rPr>
      </w:pPr>
      <w:r>
        <w:rPr>
          <w:rFonts w:hint="eastAsia" w:ascii="黑体" w:hAnsi="黑体" w:eastAsia="黑体" w:cs="黑体"/>
          <w:sz w:val="32"/>
          <w:szCs w:val="32"/>
          <w:lang w:eastAsia="zh-CN"/>
        </w:rPr>
        <w:t>七、奖励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eastAsia" w:ascii="楷体" w:hAnsi="楷体" w:eastAsia="楷体" w:cs="楷体"/>
          <w:b/>
          <w:bCs/>
          <w:sz w:val="32"/>
          <w:szCs w:val="32"/>
          <w:lang w:val="en-US" w:eastAsia="zh-CN"/>
        </w:rPr>
      </w:pPr>
      <w:r>
        <w:rPr>
          <w:rFonts w:hint="eastAsia" w:ascii="楷体" w:hAnsi="楷体" w:eastAsia="楷体" w:cs="楷体"/>
          <w:b/>
          <w:bCs/>
          <w:sz w:val="32"/>
          <w:szCs w:val="32"/>
          <w:lang w:eastAsia="zh-CN"/>
        </w:rPr>
        <w:t>（一）科研导师的奖励</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1.对科研导师发放津贴，津贴标准为500元/月/生。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2.若科研助理获得科研成果（论文、报告、专利等），参照《泉州职业技术大学科研业绩分计算办法》对其导师进行科研业绩分认定和奖励。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eastAsia" w:ascii="楷体" w:hAnsi="楷体" w:eastAsia="楷体" w:cs="楷体"/>
          <w:b/>
          <w:bCs/>
          <w:sz w:val="32"/>
          <w:szCs w:val="32"/>
          <w:lang w:val="en-US" w:eastAsia="zh-CN"/>
        </w:rPr>
      </w:pPr>
      <w:r>
        <w:rPr>
          <w:rFonts w:hint="eastAsia" w:ascii="楷体" w:hAnsi="楷体" w:eastAsia="楷体" w:cs="楷体"/>
          <w:b/>
          <w:bCs/>
          <w:sz w:val="32"/>
          <w:szCs w:val="32"/>
          <w:lang w:eastAsia="zh-CN"/>
        </w:rPr>
        <w:t>（二）科研助理的奖励</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1.通过终期考核的学生，可获得科研助理证书。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2.可优先选择由科研导师担任自己的毕业论文/毕业设计指导教师，担任助研过程完成的论文可作为毕业论文。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助研期间发表学术论文，满足以下条件之一的：①科研助理是第一作者；②科研助理是第二作者，且科研导师是第一作者。参照《泉州职业技术大学科研业绩分计算办法》对科研助理进行科研业绩分认定和奖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4.助研过程的成果产出可申请职务专利，由学校承担申请费和年费。若成果获得转化应用，则按照省市科技成果转化相关规定给予奖励。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5.通过阶段性考核的学生，每学期可加素质拓展分30分。在各项评奖评优活动中，在同等情况下，优先考虑参与科研助理工作的学生。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6.表现突出的科研助理可申请优秀毕业生。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firstLine="624" w:firstLineChars="200"/>
        <w:jc w:val="both"/>
        <w:textAlignment w:val="auto"/>
        <w:outlineLvl w:val="9"/>
        <w:rPr>
          <w:rFonts w:hint="eastAsia" w:ascii="楷体" w:hAnsi="楷体" w:eastAsia="楷体" w:cs="楷体"/>
          <w:b/>
          <w:bCs/>
          <w:sz w:val="32"/>
          <w:szCs w:val="32"/>
          <w:lang w:val="en-US" w:eastAsia="zh-CN"/>
        </w:rPr>
      </w:pPr>
      <w:r>
        <w:rPr>
          <w:rFonts w:hint="eastAsia" w:ascii="黑体" w:hAnsi="黑体" w:eastAsia="黑体" w:cs="黑体"/>
          <w:sz w:val="32"/>
          <w:szCs w:val="32"/>
          <w:lang w:eastAsia="zh-CN"/>
        </w:rPr>
        <w:t>八、其它事项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1.科研导师可根据科研助理表现，从本人所承担的项目中，发放适当劳务费。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2.本方案解释权归学校科研处。</w:t>
      </w:r>
    </w:p>
    <w:p>
      <w:pPr>
        <w:keepNext w:val="0"/>
        <w:keepLines w:val="0"/>
        <w:pageBreakBefore w:val="0"/>
        <w:widowControl w:val="0"/>
        <w:kinsoku/>
        <w:wordWrap/>
        <w:overflowPunct/>
        <w:topLinePunct w:val="0"/>
        <w:autoSpaceDE/>
        <w:autoSpaceDN/>
        <w:bidi w:val="0"/>
        <w:adjustRightInd/>
        <w:snapToGrid/>
        <w:spacing w:before="320" w:beforeLines="100" w:afterAutospacing="0" w:line="560" w:lineRule="exact"/>
        <w:ind w:left="0" w:leftChars="0" w:firstLine="624"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eastAsia="zh-CN"/>
        </w:rPr>
        <w:t>附件：泉州职业技术大学</w:t>
      </w:r>
      <w:r>
        <w:rPr>
          <w:rFonts w:hint="eastAsia" w:ascii="仿宋_GB2312" w:hAnsi="仿宋_GB2312" w:eastAsia="仿宋_GB2312" w:cs="仿宋_GB2312"/>
          <w:sz w:val="32"/>
          <w:szCs w:val="32"/>
          <w:lang w:eastAsia="zh-CN"/>
        </w:rPr>
        <w:t>科研助理培养计划报名表</w:t>
      </w:r>
    </w:p>
    <w:p>
      <w:pPr>
        <w:rPr>
          <w:rFonts w:hint="eastAsia" w:ascii="黑体" w:hAnsi="黑体" w:eastAsia="黑体" w:cs="黑体"/>
          <w:sz w:val="32"/>
          <w:szCs w:val="32"/>
          <w:lang w:eastAsia="zh-CN"/>
        </w:rPr>
      </w:pPr>
      <w:r>
        <w:rPr>
          <w:rFonts w:hint="eastAsia" w:ascii="黑体" w:hAnsi="黑体" w:eastAsia="黑体" w:cs="黑体"/>
          <w:sz w:val="32"/>
          <w:szCs w:val="32"/>
          <w:lang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both"/>
        <w:textAlignment w:val="auto"/>
        <w:outlineLvl w:val="9"/>
        <w:rPr>
          <w:rFonts w:hint="eastAsia" w:ascii="方正小标宋简体" w:hAnsi="方正小标宋简体" w:eastAsia="方正小标宋简体" w:cs="方正小标宋简体"/>
          <w:b w:val="0"/>
          <w:bCs/>
          <w:sz w:val="44"/>
          <w:szCs w:val="44"/>
        </w:rPr>
      </w:pPr>
      <w:r>
        <w:rPr>
          <w:rFonts w:hint="eastAsia" w:ascii="黑体" w:hAnsi="黑体" w:eastAsia="黑体" w:cs="黑体"/>
          <w:sz w:val="32"/>
          <w:szCs w:val="32"/>
          <w:lang w:eastAsia="zh-CN"/>
        </w:rPr>
        <w:t>附件</w:t>
      </w:r>
    </w:p>
    <w:p>
      <w:pPr>
        <w:keepNext w:val="0"/>
        <w:keepLines w:val="0"/>
        <w:pageBreakBefore w:val="0"/>
        <w:widowControl w:val="0"/>
        <w:kinsoku/>
        <w:wordWrap/>
        <w:overflowPunct/>
        <w:topLinePunct w:val="0"/>
        <w:autoSpaceDE/>
        <w:autoSpaceDN/>
        <w:bidi w:val="0"/>
        <w:adjustRightInd/>
        <w:snapToGrid/>
        <w:spacing w:before="320" w:beforeLines="100" w:after="320" w:afterLines="100" w:line="600" w:lineRule="exact"/>
        <w:ind w:left="0" w:leftChars="0" w:right="0" w:rightChars="0" w:firstLine="0" w:firstLineChars="0"/>
        <w:jc w:val="center"/>
        <w:textAlignment w:val="auto"/>
        <w:outlineLvl w:val="9"/>
        <w:rPr>
          <w:rFonts w:hint="eastAsia" w:ascii="仿宋" w:hAnsi="仿宋" w:eastAsia="仿宋" w:cs="仿宋"/>
          <w:sz w:val="32"/>
          <w:szCs w:val="32"/>
          <w:lang w:eastAsia="zh-CN"/>
        </w:rPr>
      </w:pPr>
      <w:r>
        <w:rPr>
          <w:rFonts w:hint="eastAsia" w:ascii="方正小标宋简体" w:hAnsi="方正小标宋简体" w:eastAsia="方正小标宋简体" w:cs="方正小标宋简体"/>
          <w:b w:val="0"/>
          <w:bCs/>
          <w:sz w:val="44"/>
          <w:szCs w:val="44"/>
          <w:lang w:eastAsia="zh-CN"/>
        </w:rPr>
        <w:t>泉州职业技术大学科研助理培养计划报名表</w:t>
      </w:r>
    </w:p>
    <w:tbl>
      <w:tblPr>
        <w:tblStyle w:val="7"/>
        <w:tblW w:w="9192" w:type="dxa"/>
        <w:jc w:val="center"/>
        <w:tblLayout w:type="fixed"/>
        <w:tblCellMar>
          <w:top w:w="0" w:type="dxa"/>
          <w:left w:w="30" w:type="dxa"/>
          <w:bottom w:w="0" w:type="dxa"/>
          <w:right w:w="30" w:type="dxa"/>
        </w:tblCellMar>
      </w:tblPr>
      <w:tblGrid>
        <w:gridCol w:w="1652"/>
        <w:gridCol w:w="1000"/>
        <w:gridCol w:w="910"/>
        <w:gridCol w:w="1469"/>
        <w:gridCol w:w="1070"/>
        <w:gridCol w:w="1490"/>
        <w:gridCol w:w="1601"/>
      </w:tblGrid>
      <w:tr>
        <w:tblPrEx>
          <w:tblCellMar>
            <w:top w:w="0" w:type="dxa"/>
            <w:left w:w="30" w:type="dxa"/>
            <w:bottom w:w="0" w:type="dxa"/>
            <w:right w:w="30" w:type="dxa"/>
          </w:tblCellMar>
        </w:tblPrEx>
        <w:trPr>
          <w:cantSplit/>
          <w:trHeight w:val="677" w:hRule="atLeast"/>
          <w:jc w:val="center"/>
        </w:trPr>
        <w:tc>
          <w:tcPr>
            <w:tcW w:w="165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姓 名</w:t>
            </w:r>
          </w:p>
        </w:tc>
        <w:tc>
          <w:tcPr>
            <w:tcW w:w="100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rPr>
            </w:pPr>
          </w:p>
        </w:tc>
        <w:tc>
          <w:tcPr>
            <w:tcW w:w="91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学 号</w:t>
            </w:r>
          </w:p>
        </w:tc>
        <w:tc>
          <w:tcPr>
            <w:tcW w:w="146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rPr>
            </w:pPr>
          </w:p>
        </w:tc>
        <w:tc>
          <w:tcPr>
            <w:tcW w:w="107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性 别</w:t>
            </w:r>
          </w:p>
        </w:tc>
        <w:tc>
          <w:tcPr>
            <w:tcW w:w="1490" w:type="dxa"/>
            <w:tcBorders>
              <w:top w:val="single" w:color="auto" w:sz="6"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rPr>
            </w:pPr>
          </w:p>
        </w:tc>
        <w:tc>
          <w:tcPr>
            <w:tcW w:w="1601" w:type="dxa"/>
            <w:vMerge w:val="restart"/>
            <w:tcBorders>
              <w:top w:val="single" w:color="auto" w:sz="4" w:space="0"/>
              <w:left w:val="single" w:color="auto" w:sz="4" w:space="0"/>
              <w:right w:val="single" w:color="auto" w:sz="4" w:space="0"/>
            </w:tcBorders>
            <w:textDirection w:val="tbRlV"/>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left="113" w:firstLine="464" w:firstLineChars="200"/>
              <w:jc w:val="both"/>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照</w:t>
            </w:r>
            <w:r>
              <w:rPr>
                <w:rFonts w:hint="eastAsia" w:ascii="仿宋_GB2312" w:hAnsi="仿宋_GB2312" w:eastAsia="仿宋_GB2312" w:cs="仿宋_GB2312"/>
                <w:color w:val="000000"/>
                <w:kern w:val="0"/>
                <w:sz w:val="24"/>
                <w:szCs w:val="24"/>
                <w:lang w:val="en-US" w:eastAsia="zh-CN"/>
              </w:rPr>
              <w:t xml:space="preserve">   </w:t>
            </w:r>
            <w:r>
              <w:rPr>
                <w:rFonts w:hint="eastAsia" w:ascii="仿宋_GB2312" w:hAnsi="仿宋_GB2312" w:eastAsia="仿宋_GB2312" w:cs="仿宋_GB2312"/>
                <w:color w:val="000000"/>
                <w:kern w:val="0"/>
                <w:sz w:val="24"/>
                <w:szCs w:val="24"/>
              </w:rPr>
              <w:t>片</w:t>
            </w:r>
          </w:p>
        </w:tc>
      </w:tr>
      <w:tr>
        <w:tblPrEx>
          <w:tblCellMar>
            <w:top w:w="0" w:type="dxa"/>
            <w:left w:w="30" w:type="dxa"/>
            <w:bottom w:w="0" w:type="dxa"/>
            <w:right w:w="30" w:type="dxa"/>
          </w:tblCellMar>
        </w:tblPrEx>
        <w:trPr>
          <w:trHeight w:val="671" w:hRule="atLeast"/>
          <w:jc w:val="center"/>
        </w:trPr>
        <w:tc>
          <w:tcPr>
            <w:tcW w:w="165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年 级</w:t>
            </w:r>
          </w:p>
        </w:tc>
        <w:tc>
          <w:tcPr>
            <w:tcW w:w="100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rPr>
            </w:pPr>
          </w:p>
        </w:tc>
        <w:tc>
          <w:tcPr>
            <w:tcW w:w="91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班 级</w:t>
            </w:r>
          </w:p>
        </w:tc>
        <w:tc>
          <w:tcPr>
            <w:tcW w:w="146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rPr>
            </w:pPr>
          </w:p>
        </w:tc>
        <w:tc>
          <w:tcPr>
            <w:tcW w:w="107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联系方式</w:t>
            </w:r>
          </w:p>
        </w:tc>
        <w:tc>
          <w:tcPr>
            <w:tcW w:w="1490" w:type="dxa"/>
            <w:tcBorders>
              <w:top w:val="single" w:color="auto" w:sz="6"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rPr>
            </w:pPr>
          </w:p>
        </w:tc>
        <w:tc>
          <w:tcPr>
            <w:tcW w:w="160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rPr>
            </w:pPr>
          </w:p>
        </w:tc>
      </w:tr>
      <w:tr>
        <w:tblPrEx>
          <w:tblCellMar>
            <w:top w:w="0" w:type="dxa"/>
            <w:left w:w="30" w:type="dxa"/>
            <w:bottom w:w="0" w:type="dxa"/>
            <w:right w:w="30" w:type="dxa"/>
          </w:tblCellMar>
        </w:tblPrEx>
        <w:trPr>
          <w:trHeight w:val="665" w:hRule="atLeast"/>
          <w:jc w:val="center"/>
        </w:trPr>
        <w:tc>
          <w:tcPr>
            <w:tcW w:w="165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政治面貌</w:t>
            </w:r>
          </w:p>
        </w:tc>
        <w:tc>
          <w:tcPr>
            <w:tcW w:w="100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rPr>
            </w:pPr>
          </w:p>
        </w:tc>
        <w:tc>
          <w:tcPr>
            <w:tcW w:w="91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专 业</w:t>
            </w:r>
          </w:p>
        </w:tc>
        <w:tc>
          <w:tcPr>
            <w:tcW w:w="146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rPr>
            </w:pPr>
          </w:p>
        </w:tc>
        <w:tc>
          <w:tcPr>
            <w:tcW w:w="107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个人特长</w:t>
            </w:r>
          </w:p>
        </w:tc>
        <w:tc>
          <w:tcPr>
            <w:tcW w:w="1490" w:type="dxa"/>
            <w:tcBorders>
              <w:top w:val="single" w:color="auto" w:sz="6" w:space="0"/>
              <w:left w:val="single" w:color="auto" w:sz="6" w:space="0"/>
              <w:bottom w:val="single" w:color="auto" w:sz="6"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rPr>
            </w:pPr>
          </w:p>
        </w:tc>
        <w:tc>
          <w:tcPr>
            <w:tcW w:w="160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rPr>
            </w:pPr>
          </w:p>
        </w:tc>
      </w:tr>
      <w:tr>
        <w:tblPrEx>
          <w:tblCellMar>
            <w:top w:w="0" w:type="dxa"/>
            <w:left w:w="30" w:type="dxa"/>
            <w:bottom w:w="0" w:type="dxa"/>
            <w:right w:w="30" w:type="dxa"/>
          </w:tblCellMar>
        </w:tblPrEx>
        <w:trPr>
          <w:trHeight w:val="550" w:hRule="atLeast"/>
          <w:jc w:val="center"/>
        </w:trPr>
        <w:tc>
          <w:tcPr>
            <w:tcW w:w="165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任职情况</w:t>
            </w:r>
            <w:r>
              <w:rPr>
                <w:rFonts w:hint="eastAsia" w:ascii="仿宋_GB2312" w:hAnsi="仿宋_GB2312" w:eastAsia="仿宋_GB2312" w:cs="仿宋_GB2312"/>
                <w:color w:val="000000"/>
                <w:kern w:val="0"/>
                <w:sz w:val="24"/>
                <w:szCs w:val="24"/>
              </w:rPr>
              <w:br w:type="textWrapping"/>
            </w:r>
            <w:r>
              <w:rPr>
                <w:rFonts w:hint="eastAsia" w:ascii="仿宋_GB2312" w:hAnsi="仿宋_GB2312" w:eastAsia="仿宋_GB2312" w:cs="仿宋_GB2312"/>
                <w:color w:val="000000"/>
                <w:kern w:val="0"/>
                <w:sz w:val="24"/>
                <w:szCs w:val="24"/>
                <w:lang w:eastAsia="zh-CN"/>
              </w:rPr>
              <w:t>（社团或班委）</w:t>
            </w:r>
          </w:p>
        </w:tc>
        <w:tc>
          <w:tcPr>
            <w:tcW w:w="3379"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lang w:eastAsia="zh-CN"/>
              </w:rPr>
            </w:pPr>
          </w:p>
        </w:tc>
        <w:tc>
          <w:tcPr>
            <w:tcW w:w="107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left="0" w:leftChars="0" w:firstLine="0" w:firstLineChars="0"/>
              <w:jc w:val="center"/>
              <w:textAlignment w:val="auto"/>
              <w:rPr>
                <w:rFonts w:hint="eastAsia" w:ascii="仿宋_GB2312" w:hAnsi="仿宋_GB2312" w:eastAsia="仿宋_GB2312" w:cs="仿宋_GB2312"/>
                <w:color w:val="000000"/>
                <w:kern w:val="0"/>
                <w:sz w:val="24"/>
                <w:szCs w:val="24"/>
                <w:lang w:eastAsia="zh-CN"/>
              </w:rPr>
            </w:pPr>
            <w:r>
              <w:rPr>
                <w:rFonts w:hint="eastAsia" w:ascii="仿宋_GB2312" w:hAnsi="仿宋_GB2312" w:eastAsia="仿宋_GB2312" w:cs="仿宋_GB2312"/>
                <w:color w:val="000000"/>
                <w:kern w:val="0"/>
                <w:sz w:val="24"/>
                <w:szCs w:val="24"/>
                <w:lang w:eastAsia="zh-CN"/>
              </w:rPr>
              <w:t>上学期</w:t>
            </w:r>
            <w:r>
              <w:rPr>
                <w:rFonts w:hint="eastAsia" w:ascii="仿宋_GB2312" w:hAnsi="仿宋_GB2312" w:eastAsia="仿宋_GB2312" w:cs="仿宋_GB2312"/>
                <w:color w:val="000000"/>
                <w:kern w:val="0"/>
                <w:sz w:val="24"/>
                <w:szCs w:val="24"/>
                <w:lang w:eastAsia="zh-CN"/>
              </w:rPr>
              <w:br w:type="textWrapping"/>
            </w:r>
            <w:r>
              <w:rPr>
                <w:rFonts w:hint="eastAsia" w:ascii="仿宋_GB2312" w:hAnsi="仿宋_GB2312" w:eastAsia="仿宋_GB2312" w:cs="仿宋_GB2312"/>
                <w:color w:val="000000"/>
                <w:kern w:val="0"/>
                <w:sz w:val="24"/>
                <w:szCs w:val="24"/>
              </w:rPr>
              <w:t>平均</w:t>
            </w:r>
            <w:r>
              <w:rPr>
                <w:rFonts w:hint="eastAsia" w:ascii="仿宋_GB2312" w:hAnsi="仿宋_GB2312" w:eastAsia="仿宋_GB2312" w:cs="仿宋_GB2312"/>
                <w:color w:val="000000"/>
                <w:kern w:val="0"/>
                <w:sz w:val="24"/>
                <w:szCs w:val="24"/>
                <w:lang w:eastAsia="zh-CN"/>
              </w:rPr>
              <w:t>成绩</w:t>
            </w:r>
          </w:p>
        </w:tc>
        <w:tc>
          <w:tcPr>
            <w:tcW w:w="3091"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rPr>
            </w:pPr>
          </w:p>
        </w:tc>
      </w:tr>
      <w:tr>
        <w:tblPrEx>
          <w:tblCellMar>
            <w:top w:w="0" w:type="dxa"/>
            <w:left w:w="30" w:type="dxa"/>
            <w:bottom w:w="0" w:type="dxa"/>
            <w:right w:w="30" w:type="dxa"/>
          </w:tblCellMar>
        </w:tblPrEx>
        <w:trPr>
          <w:trHeight w:val="550" w:hRule="atLeast"/>
          <w:jc w:val="center"/>
        </w:trPr>
        <w:tc>
          <w:tcPr>
            <w:tcW w:w="165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left="0" w:leftChars="0" w:firstLine="0" w:firstLineChars="0"/>
              <w:jc w:val="center"/>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所在学院</w:t>
            </w:r>
          </w:p>
        </w:tc>
        <w:tc>
          <w:tcPr>
            <w:tcW w:w="3379"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rPr>
            </w:pPr>
          </w:p>
        </w:tc>
        <w:tc>
          <w:tcPr>
            <w:tcW w:w="107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lang w:eastAsia="zh-CN"/>
              </w:rPr>
              <w:t>申请岗位</w:t>
            </w:r>
          </w:p>
        </w:tc>
        <w:tc>
          <w:tcPr>
            <w:tcW w:w="3091"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rPr>
            </w:pPr>
          </w:p>
        </w:tc>
      </w:tr>
      <w:tr>
        <w:tblPrEx>
          <w:tblCellMar>
            <w:top w:w="0" w:type="dxa"/>
            <w:left w:w="30" w:type="dxa"/>
            <w:bottom w:w="0" w:type="dxa"/>
            <w:right w:w="30" w:type="dxa"/>
          </w:tblCellMar>
        </w:tblPrEx>
        <w:trPr>
          <w:cantSplit/>
          <w:trHeight w:val="2233" w:hRule="atLeast"/>
          <w:jc w:val="center"/>
        </w:trPr>
        <w:tc>
          <w:tcPr>
            <w:tcW w:w="1652" w:type="dxa"/>
            <w:tcBorders>
              <w:top w:val="single" w:color="auto" w:sz="6" w:space="0"/>
              <w:left w:val="single" w:color="auto" w:sz="6" w:space="0"/>
              <w:right w:val="single" w:color="auto" w:sz="6" w:space="0"/>
            </w:tcBorders>
            <w:textDirection w:val="tbRlV"/>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个</w:t>
            </w:r>
            <w:r>
              <w:rPr>
                <w:rFonts w:hint="eastAsia" w:ascii="仿宋_GB2312" w:hAnsi="仿宋_GB2312" w:eastAsia="仿宋_GB2312" w:cs="仿宋_GB2312"/>
                <w:color w:val="000000"/>
                <w:kern w:val="0"/>
                <w:sz w:val="24"/>
                <w:szCs w:val="24"/>
                <w:lang w:val="en-US" w:eastAsia="zh-CN"/>
              </w:rPr>
              <w:t xml:space="preserve"> </w:t>
            </w:r>
            <w:r>
              <w:rPr>
                <w:rFonts w:hint="eastAsia" w:ascii="仿宋_GB2312" w:hAnsi="仿宋_GB2312" w:eastAsia="仿宋_GB2312" w:cs="仿宋_GB2312"/>
                <w:color w:val="000000"/>
                <w:kern w:val="0"/>
                <w:sz w:val="24"/>
                <w:szCs w:val="24"/>
              </w:rPr>
              <w:t>人</w:t>
            </w:r>
            <w:r>
              <w:rPr>
                <w:rFonts w:hint="eastAsia" w:ascii="仿宋_GB2312" w:hAnsi="仿宋_GB2312" w:eastAsia="仿宋_GB2312" w:cs="仿宋_GB2312"/>
                <w:color w:val="000000"/>
                <w:kern w:val="0"/>
                <w:sz w:val="24"/>
                <w:szCs w:val="24"/>
                <w:lang w:val="en-US" w:eastAsia="zh-CN"/>
              </w:rPr>
              <w:t xml:space="preserve"> </w:t>
            </w:r>
            <w:r>
              <w:rPr>
                <w:rFonts w:hint="eastAsia" w:ascii="仿宋_GB2312" w:hAnsi="仿宋_GB2312" w:eastAsia="仿宋_GB2312" w:cs="仿宋_GB2312"/>
                <w:color w:val="000000"/>
                <w:kern w:val="0"/>
                <w:sz w:val="24"/>
                <w:szCs w:val="24"/>
              </w:rPr>
              <w:t>简</w:t>
            </w:r>
            <w:r>
              <w:rPr>
                <w:rFonts w:hint="eastAsia" w:ascii="仿宋_GB2312" w:hAnsi="仿宋_GB2312" w:eastAsia="仿宋_GB2312" w:cs="仿宋_GB2312"/>
                <w:color w:val="000000"/>
                <w:kern w:val="0"/>
                <w:sz w:val="24"/>
                <w:szCs w:val="24"/>
                <w:lang w:val="en-US" w:eastAsia="zh-CN"/>
              </w:rPr>
              <w:t xml:space="preserve"> </w:t>
            </w:r>
            <w:r>
              <w:rPr>
                <w:rFonts w:hint="eastAsia" w:ascii="仿宋_GB2312" w:hAnsi="仿宋_GB2312" w:eastAsia="仿宋_GB2312" w:cs="仿宋_GB2312"/>
                <w:color w:val="000000"/>
                <w:kern w:val="0"/>
                <w:sz w:val="24"/>
                <w:szCs w:val="24"/>
              </w:rPr>
              <w:t>介</w:t>
            </w:r>
          </w:p>
        </w:tc>
        <w:tc>
          <w:tcPr>
            <w:tcW w:w="7540" w:type="dxa"/>
            <w:gridSpan w:val="6"/>
            <w:tcBorders>
              <w:top w:val="single" w:color="auto" w:sz="6" w:space="0"/>
              <w:left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rPr>
            </w:pPr>
          </w:p>
        </w:tc>
      </w:tr>
      <w:tr>
        <w:tblPrEx>
          <w:tblCellMar>
            <w:top w:w="0" w:type="dxa"/>
            <w:left w:w="30" w:type="dxa"/>
            <w:bottom w:w="0" w:type="dxa"/>
            <w:right w:w="30" w:type="dxa"/>
          </w:tblCellMar>
        </w:tblPrEx>
        <w:trPr>
          <w:trHeight w:val="2256" w:hRule="atLeast"/>
          <w:jc w:val="center"/>
        </w:trPr>
        <w:tc>
          <w:tcPr>
            <w:tcW w:w="1652" w:type="dxa"/>
            <w:tcBorders>
              <w:top w:val="single" w:color="auto" w:sz="6" w:space="0"/>
              <w:left w:val="single" w:color="auto" w:sz="6" w:space="0"/>
              <w:bottom w:val="single" w:color="auto" w:sz="4" w:space="0"/>
              <w:right w:val="single" w:color="auto" w:sz="6" w:space="0"/>
            </w:tcBorders>
            <w:textDirection w:val="tbRlV"/>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left="0" w:leftChars="0" w:firstLine="0" w:firstLineChars="0"/>
              <w:jc w:val="center"/>
              <w:textAlignment w:val="auto"/>
              <w:rPr>
                <w:rFonts w:hint="eastAsia" w:ascii="仿宋_GB2312" w:hAnsi="仿宋_GB2312" w:eastAsia="仿宋_GB2312" w:cs="仿宋_GB2312"/>
                <w:color w:val="000000"/>
                <w:kern w:val="0"/>
                <w:sz w:val="24"/>
                <w:szCs w:val="24"/>
                <w:lang w:eastAsia="zh-CN"/>
              </w:rPr>
            </w:pPr>
            <w:r>
              <w:rPr>
                <w:rFonts w:hint="eastAsia" w:ascii="仿宋_GB2312" w:hAnsi="仿宋_GB2312" w:eastAsia="仿宋_GB2312" w:cs="仿宋_GB2312"/>
                <w:color w:val="000000"/>
                <w:kern w:val="0"/>
                <w:sz w:val="24"/>
                <w:szCs w:val="24"/>
                <w:lang w:eastAsia="zh-CN"/>
              </w:rPr>
              <w:t>科研经历</w:t>
            </w:r>
            <w:r>
              <w:rPr>
                <w:rFonts w:hint="eastAsia" w:ascii="仿宋_GB2312" w:hAnsi="仿宋_GB2312" w:eastAsia="仿宋_GB2312" w:cs="仿宋_GB2312"/>
                <w:color w:val="000000"/>
                <w:kern w:val="0"/>
                <w:sz w:val="24"/>
                <w:szCs w:val="24"/>
                <w:lang w:val="en-US" w:eastAsia="zh-CN"/>
              </w:rPr>
              <w:t>与</w:t>
            </w:r>
            <w:r>
              <w:rPr>
                <w:rFonts w:hint="eastAsia" w:ascii="仿宋_GB2312" w:hAnsi="仿宋_GB2312" w:eastAsia="仿宋_GB2312" w:cs="仿宋_GB2312"/>
                <w:color w:val="000000"/>
                <w:kern w:val="0"/>
                <w:sz w:val="24"/>
                <w:szCs w:val="24"/>
              </w:rPr>
              <w:t>获奖</w:t>
            </w:r>
            <w:r>
              <w:rPr>
                <w:rFonts w:hint="eastAsia" w:ascii="仿宋_GB2312" w:hAnsi="仿宋_GB2312" w:eastAsia="仿宋_GB2312" w:cs="仿宋_GB2312"/>
                <w:color w:val="000000"/>
                <w:kern w:val="0"/>
                <w:sz w:val="24"/>
                <w:szCs w:val="24"/>
                <w:lang w:eastAsia="zh-CN"/>
              </w:rPr>
              <w:t>情况</w:t>
            </w:r>
          </w:p>
        </w:tc>
        <w:tc>
          <w:tcPr>
            <w:tcW w:w="7540" w:type="dxa"/>
            <w:gridSpan w:val="6"/>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rPr>
            </w:pPr>
          </w:p>
        </w:tc>
      </w:tr>
      <w:tr>
        <w:tblPrEx>
          <w:tblCellMar>
            <w:top w:w="0" w:type="dxa"/>
            <w:left w:w="30" w:type="dxa"/>
            <w:bottom w:w="0" w:type="dxa"/>
            <w:right w:w="30" w:type="dxa"/>
          </w:tblCellMar>
        </w:tblPrEx>
        <w:trPr>
          <w:trHeight w:val="2542" w:hRule="atLeast"/>
          <w:jc w:val="center"/>
        </w:trPr>
        <w:tc>
          <w:tcPr>
            <w:tcW w:w="1652"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20" w:lineRule="exact"/>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lang w:val="en-US" w:eastAsia="zh-CN"/>
              </w:rPr>
              <w:t>助理</w:t>
            </w:r>
            <w:r>
              <w:rPr>
                <w:rFonts w:hint="eastAsia" w:ascii="仿宋_GB2312" w:hAnsi="仿宋_GB2312" w:eastAsia="仿宋_GB2312" w:cs="仿宋_GB2312"/>
                <w:color w:val="000000"/>
                <w:kern w:val="0"/>
                <w:sz w:val="24"/>
                <w:szCs w:val="24"/>
              </w:rPr>
              <w:t>工作</w:t>
            </w:r>
            <w:r>
              <w:rPr>
                <w:rFonts w:hint="eastAsia" w:ascii="仿宋_GB2312" w:hAnsi="仿宋_GB2312" w:eastAsia="仿宋_GB2312" w:cs="仿宋_GB2312"/>
                <w:color w:val="000000"/>
                <w:kern w:val="0"/>
                <w:sz w:val="24"/>
                <w:szCs w:val="24"/>
                <w:lang w:val="en-US" w:eastAsia="zh-CN"/>
              </w:rPr>
              <w:t>诉求与</w:t>
            </w:r>
            <w:r>
              <w:rPr>
                <w:rFonts w:hint="eastAsia" w:ascii="仿宋_GB2312" w:hAnsi="仿宋_GB2312" w:eastAsia="仿宋_GB2312" w:cs="仿宋_GB2312"/>
                <w:color w:val="000000"/>
                <w:kern w:val="0"/>
                <w:sz w:val="24"/>
                <w:szCs w:val="24"/>
              </w:rPr>
              <w:t>设想</w:t>
            </w:r>
          </w:p>
        </w:tc>
        <w:tc>
          <w:tcPr>
            <w:tcW w:w="754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afterLines="0" w:line="360" w:lineRule="auto"/>
              <w:ind w:firstLine="464" w:firstLineChars="200"/>
              <w:jc w:val="center"/>
              <w:textAlignment w:val="auto"/>
              <w:rPr>
                <w:rFonts w:hint="eastAsia" w:ascii="仿宋_GB2312" w:hAnsi="仿宋_GB2312" w:eastAsia="仿宋_GB2312" w:cs="仿宋_GB2312"/>
                <w:color w:val="000000"/>
                <w:kern w:val="0"/>
                <w:sz w:val="24"/>
                <w:szCs w:val="24"/>
              </w:rPr>
            </w:pPr>
          </w:p>
        </w:tc>
      </w:tr>
    </w:tbl>
    <w:p>
      <w:pPr>
        <w:keepNext w:val="0"/>
        <w:keepLines w:val="0"/>
        <w:pageBreakBefore w:val="0"/>
        <w:widowControl w:val="0"/>
        <w:kinsoku/>
        <w:wordWrap/>
        <w:overflowPunct/>
        <w:topLinePunct w:val="0"/>
        <w:autoSpaceDE/>
        <w:autoSpaceDN/>
        <w:bidi w:val="0"/>
        <w:adjustRightInd/>
        <w:snapToGrid/>
        <w:spacing w:afterAutospacing="0" w:line="560" w:lineRule="exact"/>
        <w:ind w:left="0" w:left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afterAutospacing="0" w:line="14" w:lineRule="exact"/>
        <w:ind w:left="0" w:leftChars="0" w:right="0" w:rightChars="0" w:firstLine="0" w:firstLineChars="0"/>
        <w:jc w:val="both"/>
        <w:textAlignment w:val="auto"/>
        <w:outlineLvl w:val="9"/>
        <w:rPr>
          <w:rFonts w:hint="eastAsia" w:ascii="仿宋" w:hAnsi="仿宋" w:eastAsia="仿宋" w:cs="仿宋"/>
          <w:color w:val="auto"/>
          <w:sz w:val="28"/>
          <w:szCs w:val="28"/>
        </w:rPr>
      </w:pPr>
      <w:bookmarkStart w:id="0" w:name="fyz"/>
      <w:bookmarkEnd w:id="0"/>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32"/>
          <w:szCs w:val="32"/>
          <w:lang w:val="en-US" w:eastAsia="zh-CN"/>
        </w:rPr>
        <w:sectPr>
          <w:footerReference r:id="rId3" w:type="default"/>
          <w:pgSz w:w="11906" w:h="16838"/>
          <w:pgMar w:top="2098" w:right="1474" w:bottom="1984" w:left="1587" w:header="851" w:footer="992" w:gutter="0"/>
          <w:pgNumType w:fmt="numberInDash"/>
          <w:cols w:space="0" w:num="1"/>
          <w:rtlGutter w:val="0"/>
          <w:docGrid w:type="linesAndChars" w:linePitch="319" w:charSpace="-1839"/>
        </w:sectPr>
      </w:pPr>
    </w:p>
    <w:tbl>
      <w:tblPr>
        <w:tblStyle w:val="7"/>
        <w:tblpPr w:leftFromText="181" w:rightFromText="181" w:horzAnchor="margin" w:tblpXSpec="center" w:tblpYSpec="bottom"/>
        <w:tblOverlap w:val="never"/>
        <w:tblW w:w="9030" w:type="dxa"/>
        <w:jc w:val="center"/>
        <w:tblLayout w:type="fixed"/>
        <w:tblCellMar>
          <w:top w:w="0" w:type="dxa"/>
          <w:left w:w="28" w:type="dxa"/>
          <w:bottom w:w="0" w:type="dxa"/>
          <w:right w:w="28" w:type="dxa"/>
        </w:tblCellMar>
      </w:tblPr>
      <w:tblGrid>
        <w:gridCol w:w="4580"/>
        <w:gridCol w:w="4450"/>
      </w:tblGrid>
      <w:tr>
        <w:tblPrEx>
          <w:tblCellMar>
            <w:top w:w="0" w:type="dxa"/>
            <w:left w:w="28" w:type="dxa"/>
            <w:bottom w:w="0" w:type="dxa"/>
            <w:right w:w="28" w:type="dxa"/>
          </w:tblCellMar>
        </w:tblPrEx>
        <w:trPr>
          <w:trHeight w:val="567" w:hRule="atLeast"/>
          <w:jc w:val="center"/>
        </w:trPr>
        <w:tc>
          <w:tcPr>
            <w:tcW w:w="4580" w:type="dxa"/>
            <w:tcBorders>
              <w:top w:val="single" w:color="auto" w:sz="12" w:space="0"/>
              <w:left w:val="nil"/>
              <w:bottom w:val="single" w:color="auto" w:sz="4" w:space="0"/>
              <w:right w:val="nil"/>
            </w:tcBorders>
            <w:noWrap w:val="0"/>
            <w:vAlign w:val="bottom"/>
          </w:tcPr>
          <w:p>
            <w:pPr>
              <w:keepNext w:val="0"/>
              <w:keepLines w:val="0"/>
              <w:pageBreakBefore w:val="0"/>
              <w:widowControl w:val="0"/>
              <w:kinsoku/>
              <w:wordWrap/>
              <w:overflowPunct/>
              <w:topLinePunct w:val="0"/>
              <w:autoSpaceDE/>
              <w:autoSpaceDN/>
              <w:bidi w:val="0"/>
              <w:adjustRightInd/>
              <w:snapToGrid/>
              <w:spacing w:after="100" w:afterAutospacing="0" w:line="590" w:lineRule="exact"/>
              <w:ind w:left="202" w:leftChars="100" w:right="202" w:rightChars="100" w:firstLine="0" w:firstLineChars="0"/>
              <w:jc w:val="left"/>
              <w:textAlignment w:val="bottom"/>
              <w:outlineLvl w:val="9"/>
              <w:rPr>
                <w:rFonts w:hint="eastAsia" w:ascii="仿宋_GB2312" w:hAnsi="仿宋" w:eastAsia="仿宋_GB2312" w:cs="仿宋_GB2312"/>
                <w:color w:val="auto"/>
                <w:sz w:val="28"/>
                <w:lang w:eastAsia="zh-CN"/>
              </w:rPr>
            </w:pPr>
            <w:r>
              <w:rPr>
                <w:rFonts w:hint="eastAsia" w:ascii="仿宋_GB2312" w:hAnsi="仿宋" w:eastAsia="仿宋_GB2312" w:cs="仿宋_GB2312"/>
                <w:color w:val="auto"/>
                <w:sz w:val="28"/>
              </w:rPr>
              <w:t>抄送：</w:t>
            </w:r>
            <w:r>
              <w:rPr>
                <w:rFonts w:hint="eastAsia" w:ascii="仿宋_GB2312" w:hAnsi="仿宋" w:eastAsia="仿宋_GB2312" w:cs="仿宋_GB2312"/>
                <w:color w:val="auto"/>
                <w:sz w:val="28"/>
                <w:lang w:eastAsia="zh-CN"/>
              </w:rPr>
              <w:t>校领导。</w:t>
            </w:r>
          </w:p>
        </w:tc>
        <w:tc>
          <w:tcPr>
            <w:tcW w:w="4450" w:type="dxa"/>
            <w:tcBorders>
              <w:top w:val="single" w:color="auto" w:sz="12" w:space="0"/>
              <w:left w:val="nil"/>
              <w:bottom w:val="single" w:color="auto" w:sz="4" w:space="0"/>
              <w:right w:val="nil"/>
            </w:tcBorders>
            <w:noWrap w:val="0"/>
            <w:vAlign w:val="bottom"/>
          </w:tcPr>
          <w:p>
            <w:pPr>
              <w:keepNext w:val="0"/>
              <w:keepLines w:val="0"/>
              <w:pageBreakBefore w:val="0"/>
              <w:widowControl w:val="0"/>
              <w:kinsoku/>
              <w:wordWrap/>
              <w:overflowPunct/>
              <w:topLinePunct w:val="0"/>
              <w:autoSpaceDE/>
              <w:autoSpaceDN/>
              <w:bidi w:val="0"/>
              <w:adjustRightInd/>
              <w:snapToGrid/>
              <w:spacing w:after="100" w:afterAutospacing="0" w:line="590" w:lineRule="exact"/>
              <w:ind w:left="202" w:leftChars="100" w:right="202" w:rightChars="100" w:firstLine="0" w:firstLineChars="0"/>
              <w:jc w:val="right"/>
              <w:textAlignment w:val="bottom"/>
              <w:outlineLvl w:val="9"/>
              <w:rPr>
                <w:rFonts w:hint="default" w:ascii="仿宋_GB2312" w:hAnsi="仿宋" w:eastAsia="仿宋_GB2312" w:cs="仿宋_GB2312"/>
                <w:color w:val="auto"/>
                <w:sz w:val="28"/>
                <w:lang w:val="en-US" w:eastAsia="zh-CN"/>
              </w:rPr>
            </w:pPr>
            <w:r>
              <w:rPr>
                <w:rFonts w:hint="eastAsia" w:ascii="仿宋_GB2312" w:hAnsi="仿宋" w:eastAsia="仿宋_GB2312" w:cs="仿宋_GB2312"/>
                <w:color w:val="auto"/>
                <w:sz w:val="28"/>
                <w:lang w:eastAsia="zh-CN"/>
              </w:rPr>
              <w:t>存档</w:t>
            </w:r>
            <w:r>
              <w:rPr>
                <w:rFonts w:hint="eastAsia" w:ascii="仿宋_GB2312" w:hAnsi="仿宋" w:eastAsia="仿宋_GB2312" w:cs="仿宋_GB2312"/>
                <w:color w:val="auto"/>
                <w:sz w:val="28"/>
                <w:lang w:val="en-US" w:eastAsia="zh-CN"/>
              </w:rPr>
              <w:t>2份</w:t>
            </w:r>
          </w:p>
        </w:tc>
      </w:tr>
      <w:tr>
        <w:tblPrEx>
          <w:tblCellMar>
            <w:top w:w="0" w:type="dxa"/>
            <w:left w:w="28" w:type="dxa"/>
            <w:bottom w:w="0" w:type="dxa"/>
            <w:right w:w="28" w:type="dxa"/>
          </w:tblCellMar>
        </w:tblPrEx>
        <w:trPr>
          <w:trHeight w:val="567" w:hRule="atLeast"/>
          <w:jc w:val="center"/>
        </w:trPr>
        <w:tc>
          <w:tcPr>
            <w:tcW w:w="4580" w:type="dxa"/>
            <w:tcBorders>
              <w:top w:val="single" w:color="auto" w:sz="4" w:space="0"/>
              <w:left w:val="nil"/>
              <w:bottom w:val="single" w:color="auto" w:sz="12" w:space="0"/>
              <w:right w:val="nil"/>
            </w:tcBorders>
            <w:noWrap w:val="0"/>
            <w:vAlign w:val="bottom"/>
          </w:tcPr>
          <w:p>
            <w:pPr>
              <w:keepNext w:val="0"/>
              <w:keepLines w:val="0"/>
              <w:pageBreakBefore w:val="0"/>
              <w:widowControl w:val="0"/>
              <w:kinsoku/>
              <w:wordWrap/>
              <w:overflowPunct/>
              <w:topLinePunct w:val="0"/>
              <w:autoSpaceDE/>
              <w:autoSpaceDN/>
              <w:bidi w:val="0"/>
              <w:adjustRightInd/>
              <w:snapToGrid w:val="0"/>
              <w:spacing w:after="100" w:afterAutospacing="0" w:line="590" w:lineRule="exact"/>
              <w:ind w:left="202" w:leftChars="100" w:right="202" w:rightChars="100" w:firstLine="0" w:firstLineChars="0"/>
              <w:textAlignment w:val="auto"/>
              <w:rPr>
                <w:rFonts w:ascii="仿宋_GB2312" w:hAnsi="仿宋" w:eastAsia="仿宋_GB2312"/>
                <w:color w:val="auto"/>
                <w:sz w:val="28"/>
              </w:rPr>
            </w:pPr>
            <w:r>
              <w:rPr>
                <w:rFonts w:hint="eastAsia" w:ascii="仿宋_GB2312" w:hAnsi="仿宋" w:eastAsia="仿宋_GB2312" w:cs="仿宋_GB2312"/>
                <w:color w:val="auto"/>
                <w:sz w:val="28"/>
                <w:lang w:eastAsia="zh-CN"/>
              </w:rPr>
              <w:t>泉州职业技术大学党政</w:t>
            </w:r>
            <w:r>
              <w:rPr>
                <w:rFonts w:hint="eastAsia" w:ascii="仿宋_GB2312" w:hAnsi="仿宋" w:eastAsia="仿宋_GB2312" w:cs="仿宋_GB2312"/>
                <w:color w:val="auto"/>
                <w:sz w:val="28"/>
              </w:rPr>
              <w:t>办公室</w:t>
            </w:r>
          </w:p>
        </w:tc>
        <w:tc>
          <w:tcPr>
            <w:tcW w:w="4450" w:type="dxa"/>
            <w:tcBorders>
              <w:top w:val="single" w:color="auto" w:sz="4" w:space="0"/>
              <w:left w:val="nil"/>
              <w:bottom w:val="single" w:color="auto" w:sz="12"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after="100" w:afterAutospacing="0" w:line="590" w:lineRule="exact"/>
              <w:ind w:left="202" w:leftChars="100" w:right="202" w:rightChars="100" w:firstLine="0" w:firstLineChars="0"/>
              <w:jc w:val="right"/>
              <w:textAlignment w:val="bottom"/>
              <w:rPr>
                <w:rFonts w:ascii="仿宋_GB2312" w:eastAsia="仿宋_GB2312"/>
                <w:color w:val="auto"/>
              </w:rPr>
            </w:pPr>
            <w:r>
              <w:rPr>
                <w:rFonts w:hint="eastAsia" w:ascii="仿宋_GB2312" w:hAnsi="仿宋" w:eastAsia="仿宋_GB2312" w:cs="仿宋_GB2312"/>
                <w:color w:val="auto"/>
                <w:sz w:val="28"/>
              </w:rPr>
              <w:t>20</w:t>
            </w:r>
            <w:r>
              <w:rPr>
                <w:rFonts w:hint="eastAsia" w:ascii="仿宋_GB2312" w:hAnsi="仿宋" w:eastAsia="仿宋_GB2312" w:cs="仿宋_GB2312"/>
                <w:color w:val="auto"/>
                <w:sz w:val="28"/>
                <w:lang w:val="en-US" w:eastAsia="zh-CN"/>
              </w:rPr>
              <w:t>22</w:t>
            </w:r>
            <w:r>
              <w:rPr>
                <w:rFonts w:hint="eastAsia" w:ascii="仿宋_GB2312" w:hAnsi="仿宋" w:eastAsia="仿宋_GB2312" w:cs="仿宋_GB2312"/>
                <w:color w:val="auto"/>
                <w:sz w:val="28"/>
              </w:rPr>
              <w:t>年</w:t>
            </w:r>
            <w:r>
              <w:rPr>
                <w:rFonts w:hint="eastAsia" w:ascii="仿宋_GB2312" w:hAnsi="仿宋" w:eastAsia="仿宋_GB2312" w:cs="仿宋_GB2312"/>
                <w:color w:val="auto"/>
                <w:sz w:val="28"/>
                <w:lang w:val="en-US" w:eastAsia="zh-CN"/>
              </w:rPr>
              <w:t>6</w:t>
            </w:r>
            <w:r>
              <w:rPr>
                <w:rFonts w:hint="eastAsia" w:ascii="仿宋_GB2312" w:hAnsi="仿宋" w:eastAsia="仿宋_GB2312" w:cs="仿宋_GB2312"/>
                <w:color w:val="auto"/>
                <w:sz w:val="28"/>
              </w:rPr>
              <w:t>月</w:t>
            </w:r>
            <w:r>
              <w:rPr>
                <w:rFonts w:hint="eastAsia" w:ascii="仿宋_GB2312" w:hAnsi="仿宋" w:eastAsia="仿宋_GB2312" w:cs="仿宋_GB2312"/>
                <w:color w:val="auto"/>
                <w:sz w:val="28"/>
                <w:lang w:val="en-US" w:eastAsia="zh-CN"/>
              </w:rPr>
              <w:t>1</w:t>
            </w:r>
            <w:r>
              <w:rPr>
                <w:rFonts w:hint="eastAsia" w:ascii="仿宋_GB2312" w:hAnsi="仿宋" w:eastAsia="仿宋_GB2312" w:cs="仿宋_GB2312"/>
                <w:color w:val="auto"/>
                <w:sz w:val="28"/>
              </w:rPr>
              <w:t>日印发</w:t>
            </w: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仿宋" w:hAnsi="仿宋" w:eastAsia="仿宋" w:cs="仿宋"/>
          <w:sz w:val="32"/>
          <w:szCs w:val="32"/>
          <w:lang w:val="en-US" w:eastAsia="zh-CN"/>
        </w:rPr>
      </w:pPr>
    </w:p>
    <w:sectPr>
      <w:pgSz w:w="11906" w:h="16838"/>
      <w:pgMar w:top="2098" w:right="1474" w:bottom="1984" w:left="1587" w:header="851" w:footer="992" w:gutter="0"/>
      <w:pgNumType w:fmt="numberInDash"/>
      <w:cols w:space="0" w:num="1"/>
      <w:rtlGutter w:val="0"/>
      <w:docGrid w:type="linesAndChars" w:linePitch="319" w:charSpace="-183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03307C1-7B87-4EC2-A446-2700D40BDEF7}"/>
  </w:font>
  <w:font w:name="Arial">
    <w:panose1 w:val="020B0604020202020204"/>
    <w:charset w:val="01"/>
    <w:family w:val="swiss"/>
    <w:pitch w:val="default"/>
    <w:sig w:usb0="E0002EFF" w:usb1="C000785B" w:usb2="00000009" w:usb3="00000000" w:csb0="400001FF" w:csb1="FFFF0000"/>
    <w:embedRegular r:id="rId2" w:fontKey="{0F060382-A947-4B7E-9082-8EF736A47C7F}"/>
  </w:font>
  <w:font w:name="黑体">
    <w:panose1 w:val="02010609060101010101"/>
    <w:charset w:val="86"/>
    <w:family w:val="auto"/>
    <w:pitch w:val="default"/>
    <w:sig w:usb0="800002BF" w:usb1="38CF7CFA" w:usb2="00000016" w:usb3="00000000" w:csb0="00040001" w:csb1="00000000"/>
    <w:embedRegular r:id="rId3" w:fontKey="{C940E655-51A7-436C-8FF0-A98D1756DA62}"/>
  </w:font>
  <w:font w:name="Courier New">
    <w:panose1 w:val="02070309020205020404"/>
    <w:charset w:val="01"/>
    <w:family w:val="modern"/>
    <w:pitch w:val="default"/>
    <w:sig w:usb0="E0002EFF" w:usb1="C0007843" w:usb2="00000009" w:usb3="00000000" w:csb0="400001FF" w:csb1="FFFF0000"/>
    <w:embedRegular r:id="rId4" w:fontKey="{81AC0D3C-20F4-4754-82D4-3C73719A106B}"/>
  </w:font>
  <w:font w:name="Symbol">
    <w:panose1 w:val="05050102010706020507"/>
    <w:charset w:val="02"/>
    <w:family w:val="roman"/>
    <w:pitch w:val="default"/>
    <w:sig w:usb0="00000000" w:usb1="00000000" w:usb2="00000000" w:usb3="00000000" w:csb0="80000000" w:csb1="00000000"/>
    <w:embedRegular r:id="rId5" w:fontKey="{20E719AC-35DC-4318-9C0C-2592CBBF693B}"/>
  </w:font>
  <w:font w:name="Calibri">
    <w:panose1 w:val="020F0502020204030204"/>
    <w:charset w:val="00"/>
    <w:family w:val="swiss"/>
    <w:pitch w:val="default"/>
    <w:sig w:usb0="E4002EFF" w:usb1="C000247B" w:usb2="00000009" w:usb3="00000000" w:csb0="200001FF" w:csb1="00000000"/>
    <w:embedRegular r:id="rId6" w:fontKey="{128DA442-C662-4563-8E82-BDE8CC445B54}"/>
  </w:font>
  <w:font w:name="仿宋">
    <w:panose1 w:val="02010609060101010101"/>
    <w:charset w:val="86"/>
    <w:family w:val="auto"/>
    <w:pitch w:val="default"/>
    <w:sig w:usb0="800002BF" w:usb1="38CF7CFA" w:usb2="00000016" w:usb3="00000000" w:csb0="00040001" w:csb1="00000000"/>
    <w:embedRegular r:id="rId7" w:fontKey="{06A496D1-4B85-4AEB-B578-A9F0165ADF03}"/>
  </w:font>
  <w:font w:name="方正小标宋简体">
    <w:panose1 w:val="03000509000000000000"/>
    <w:charset w:val="86"/>
    <w:family w:val="auto"/>
    <w:pitch w:val="default"/>
    <w:sig w:usb0="00000001" w:usb1="080E0000" w:usb2="00000000" w:usb3="00000000" w:csb0="00040000" w:csb1="00000000"/>
    <w:embedRegular r:id="rId8" w:fontKey="{6A0E1B53-6FBC-46EA-A164-253504DFFCFB}"/>
  </w:font>
  <w:font w:name="仿宋_GB2312">
    <w:panose1 w:val="02010609030101010101"/>
    <w:charset w:val="86"/>
    <w:family w:val="modern"/>
    <w:pitch w:val="default"/>
    <w:sig w:usb0="00000001" w:usb1="080E0000" w:usb2="00000000" w:usb3="00000000" w:csb0="00040000" w:csb1="00000000"/>
    <w:embedRegular r:id="rId9" w:fontKey="{1CF285A8-51A6-4C2A-BD82-AE7DD8F68B0D}"/>
  </w:font>
  <w:font w:name="楷体">
    <w:panose1 w:val="02010609060101010101"/>
    <w:charset w:val="86"/>
    <w:family w:val="auto"/>
    <w:pitch w:val="default"/>
    <w:sig w:usb0="800002BF" w:usb1="38CF7CFA" w:usb2="00000016" w:usb3="00000000" w:csb0="00040001" w:csb1="00000000"/>
    <w:embedRegular r:id="rId10" w:fontKey="{11A96451-CF81-4D28-9433-02562F6C57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attachedTemplate r:id="rId1"/>
  <w:documentProtection w:enforcement="0"/>
  <w:defaultTabStop w:val="420"/>
  <w:drawingGridHorizontalSpacing w:val="101"/>
  <w:drawingGridVerticalSpacing w:val="289"/>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zYmVjNzZiMTU2MzlkNDc1N2U2OTAxYWQ0ZGYyNzEifQ=="/>
  </w:docVars>
  <w:rsids>
    <w:rsidRoot w:val="4D621F82"/>
    <w:rsid w:val="006724FE"/>
    <w:rsid w:val="018B2E96"/>
    <w:rsid w:val="01E6253D"/>
    <w:rsid w:val="020528F7"/>
    <w:rsid w:val="028D645D"/>
    <w:rsid w:val="031B3475"/>
    <w:rsid w:val="03CD71EC"/>
    <w:rsid w:val="03E72A2A"/>
    <w:rsid w:val="03E9521F"/>
    <w:rsid w:val="041156DB"/>
    <w:rsid w:val="04706335"/>
    <w:rsid w:val="049E1806"/>
    <w:rsid w:val="05AC7EE6"/>
    <w:rsid w:val="05C635EA"/>
    <w:rsid w:val="074249AC"/>
    <w:rsid w:val="089450E9"/>
    <w:rsid w:val="08D508F5"/>
    <w:rsid w:val="0A387D8D"/>
    <w:rsid w:val="0AB57773"/>
    <w:rsid w:val="0C192DF8"/>
    <w:rsid w:val="0D6571CD"/>
    <w:rsid w:val="0D77100C"/>
    <w:rsid w:val="0D8A0BE7"/>
    <w:rsid w:val="0E111C68"/>
    <w:rsid w:val="0E6F468A"/>
    <w:rsid w:val="0E9A123B"/>
    <w:rsid w:val="0EC73BA8"/>
    <w:rsid w:val="0F0177EC"/>
    <w:rsid w:val="0FD85E83"/>
    <w:rsid w:val="10576418"/>
    <w:rsid w:val="10990BE9"/>
    <w:rsid w:val="10AB1DDC"/>
    <w:rsid w:val="112B1916"/>
    <w:rsid w:val="11724945"/>
    <w:rsid w:val="11767384"/>
    <w:rsid w:val="11D76F92"/>
    <w:rsid w:val="122F78B0"/>
    <w:rsid w:val="126249BE"/>
    <w:rsid w:val="12A70E27"/>
    <w:rsid w:val="1369017B"/>
    <w:rsid w:val="138278AC"/>
    <w:rsid w:val="141211F5"/>
    <w:rsid w:val="1453680A"/>
    <w:rsid w:val="14E15345"/>
    <w:rsid w:val="14F3601A"/>
    <w:rsid w:val="14F603CA"/>
    <w:rsid w:val="153679CB"/>
    <w:rsid w:val="15580984"/>
    <w:rsid w:val="15B3786A"/>
    <w:rsid w:val="15C95DA2"/>
    <w:rsid w:val="15D468A6"/>
    <w:rsid w:val="15E270C8"/>
    <w:rsid w:val="161351D1"/>
    <w:rsid w:val="16834711"/>
    <w:rsid w:val="16D11146"/>
    <w:rsid w:val="16DE58F5"/>
    <w:rsid w:val="174230FD"/>
    <w:rsid w:val="17C55D1F"/>
    <w:rsid w:val="18506DD1"/>
    <w:rsid w:val="185537F3"/>
    <w:rsid w:val="18C4527C"/>
    <w:rsid w:val="199E3826"/>
    <w:rsid w:val="1A066319"/>
    <w:rsid w:val="1A0A1E78"/>
    <w:rsid w:val="1A0B1CCC"/>
    <w:rsid w:val="1A8232E5"/>
    <w:rsid w:val="1AB314F7"/>
    <w:rsid w:val="1B9E775E"/>
    <w:rsid w:val="1BAA28C5"/>
    <w:rsid w:val="1BFC0A60"/>
    <w:rsid w:val="1C771AE1"/>
    <w:rsid w:val="1CA0142F"/>
    <w:rsid w:val="1D0B090B"/>
    <w:rsid w:val="1D32411B"/>
    <w:rsid w:val="1D395BFE"/>
    <w:rsid w:val="1D4A5169"/>
    <w:rsid w:val="1D6C5635"/>
    <w:rsid w:val="1DD16EE2"/>
    <w:rsid w:val="1ED46FC7"/>
    <w:rsid w:val="1F545B45"/>
    <w:rsid w:val="1F8B3F9F"/>
    <w:rsid w:val="1FF974B8"/>
    <w:rsid w:val="202A622C"/>
    <w:rsid w:val="208E3D98"/>
    <w:rsid w:val="20A43C56"/>
    <w:rsid w:val="21DC60A4"/>
    <w:rsid w:val="223165A3"/>
    <w:rsid w:val="22506088"/>
    <w:rsid w:val="229C0A47"/>
    <w:rsid w:val="23380E4B"/>
    <w:rsid w:val="235F4635"/>
    <w:rsid w:val="247D4C15"/>
    <w:rsid w:val="2489483C"/>
    <w:rsid w:val="24C83E25"/>
    <w:rsid w:val="25356F4C"/>
    <w:rsid w:val="254215A7"/>
    <w:rsid w:val="25930869"/>
    <w:rsid w:val="25C31D2F"/>
    <w:rsid w:val="26491300"/>
    <w:rsid w:val="265F7A2A"/>
    <w:rsid w:val="2682526D"/>
    <w:rsid w:val="27217F30"/>
    <w:rsid w:val="278A2A40"/>
    <w:rsid w:val="279B5BCC"/>
    <w:rsid w:val="280B4B77"/>
    <w:rsid w:val="28116119"/>
    <w:rsid w:val="285B5199"/>
    <w:rsid w:val="28DE0A83"/>
    <w:rsid w:val="28E8708A"/>
    <w:rsid w:val="28ED02AD"/>
    <w:rsid w:val="2A3F6887"/>
    <w:rsid w:val="2A626037"/>
    <w:rsid w:val="2A6E29ED"/>
    <w:rsid w:val="2A8F75C4"/>
    <w:rsid w:val="2AC15552"/>
    <w:rsid w:val="2C126B1F"/>
    <w:rsid w:val="2C512086"/>
    <w:rsid w:val="2C5758D0"/>
    <w:rsid w:val="2C633987"/>
    <w:rsid w:val="2D1F4818"/>
    <w:rsid w:val="2D466FE1"/>
    <w:rsid w:val="2D9D13A7"/>
    <w:rsid w:val="2DE1331C"/>
    <w:rsid w:val="2DE37E69"/>
    <w:rsid w:val="2E0F418C"/>
    <w:rsid w:val="2E127CCD"/>
    <w:rsid w:val="2EAF052F"/>
    <w:rsid w:val="2EE33AFA"/>
    <w:rsid w:val="2FA24DC4"/>
    <w:rsid w:val="2FEA0AF3"/>
    <w:rsid w:val="30BC7F54"/>
    <w:rsid w:val="313B271E"/>
    <w:rsid w:val="31617057"/>
    <w:rsid w:val="317D4FE5"/>
    <w:rsid w:val="319F1D65"/>
    <w:rsid w:val="31EE5A64"/>
    <w:rsid w:val="32541303"/>
    <w:rsid w:val="32617098"/>
    <w:rsid w:val="32D33034"/>
    <w:rsid w:val="32E7711C"/>
    <w:rsid w:val="32FE17ED"/>
    <w:rsid w:val="330E1378"/>
    <w:rsid w:val="33575BF5"/>
    <w:rsid w:val="335E6E4B"/>
    <w:rsid w:val="33FF487C"/>
    <w:rsid w:val="345D640F"/>
    <w:rsid w:val="346A305F"/>
    <w:rsid w:val="34A4005A"/>
    <w:rsid w:val="34A51A73"/>
    <w:rsid w:val="35054D83"/>
    <w:rsid w:val="350D50F2"/>
    <w:rsid w:val="35517165"/>
    <w:rsid w:val="35BD1B7B"/>
    <w:rsid w:val="3627614E"/>
    <w:rsid w:val="367A268C"/>
    <w:rsid w:val="36972189"/>
    <w:rsid w:val="36FE17E3"/>
    <w:rsid w:val="375B3309"/>
    <w:rsid w:val="37856B65"/>
    <w:rsid w:val="37DB388A"/>
    <w:rsid w:val="384B407F"/>
    <w:rsid w:val="3868639E"/>
    <w:rsid w:val="39624308"/>
    <w:rsid w:val="397D20F3"/>
    <w:rsid w:val="398E5163"/>
    <w:rsid w:val="39F51C9C"/>
    <w:rsid w:val="3A4D11A4"/>
    <w:rsid w:val="3A7F5A2D"/>
    <w:rsid w:val="3ACB682C"/>
    <w:rsid w:val="3B2304B8"/>
    <w:rsid w:val="3B283E86"/>
    <w:rsid w:val="3B790E69"/>
    <w:rsid w:val="3BE41DEB"/>
    <w:rsid w:val="3C0C106A"/>
    <w:rsid w:val="3C95284C"/>
    <w:rsid w:val="3CE43F88"/>
    <w:rsid w:val="3D1E1233"/>
    <w:rsid w:val="3D28095E"/>
    <w:rsid w:val="3D9069DF"/>
    <w:rsid w:val="3DA912E5"/>
    <w:rsid w:val="3DE15D32"/>
    <w:rsid w:val="3E2164D3"/>
    <w:rsid w:val="3EDF7650"/>
    <w:rsid w:val="3F592682"/>
    <w:rsid w:val="3FB265AC"/>
    <w:rsid w:val="403C5E4C"/>
    <w:rsid w:val="40AD2BD1"/>
    <w:rsid w:val="40DF3F2D"/>
    <w:rsid w:val="411F0144"/>
    <w:rsid w:val="414D360D"/>
    <w:rsid w:val="41571720"/>
    <w:rsid w:val="41B00D49"/>
    <w:rsid w:val="41BC2935"/>
    <w:rsid w:val="437B30D9"/>
    <w:rsid w:val="438D7C81"/>
    <w:rsid w:val="43D51D4D"/>
    <w:rsid w:val="43E834D8"/>
    <w:rsid w:val="44201861"/>
    <w:rsid w:val="44263D4E"/>
    <w:rsid w:val="44DB3F86"/>
    <w:rsid w:val="458F50A0"/>
    <w:rsid w:val="459246A5"/>
    <w:rsid w:val="45A04E45"/>
    <w:rsid w:val="45EC2FEF"/>
    <w:rsid w:val="462C51ED"/>
    <w:rsid w:val="463F51AD"/>
    <w:rsid w:val="465F64F1"/>
    <w:rsid w:val="47040E4A"/>
    <w:rsid w:val="47872199"/>
    <w:rsid w:val="48516674"/>
    <w:rsid w:val="48615EAD"/>
    <w:rsid w:val="48CA1969"/>
    <w:rsid w:val="493C3DA7"/>
    <w:rsid w:val="495E7B2E"/>
    <w:rsid w:val="499469C0"/>
    <w:rsid w:val="4A0854EE"/>
    <w:rsid w:val="4A0B0F89"/>
    <w:rsid w:val="4A143FF7"/>
    <w:rsid w:val="4A6A2071"/>
    <w:rsid w:val="4A6B7A9A"/>
    <w:rsid w:val="4AC01A3A"/>
    <w:rsid w:val="4B0C13D4"/>
    <w:rsid w:val="4B127394"/>
    <w:rsid w:val="4B5C128C"/>
    <w:rsid w:val="4C130AFA"/>
    <w:rsid w:val="4C310122"/>
    <w:rsid w:val="4C8D4B20"/>
    <w:rsid w:val="4C9220A7"/>
    <w:rsid w:val="4C9631D1"/>
    <w:rsid w:val="4CA6717A"/>
    <w:rsid w:val="4CCD592C"/>
    <w:rsid w:val="4D493BE1"/>
    <w:rsid w:val="4D621F82"/>
    <w:rsid w:val="4DAB7512"/>
    <w:rsid w:val="4E3E74C2"/>
    <w:rsid w:val="4E450DC6"/>
    <w:rsid w:val="4EAA5765"/>
    <w:rsid w:val="4F7932C8"/>
    <w:rsid w:val="4FB051A7"/>
    <w:rsid w:val="502C2818"/>
    <w:rsid w:val="50910EFB"/>
    <w:rsid w:val="50EC3F78"/>
    <w:rsid w:val="51747C68"/>
    <w:rsid w:val="521477CA"/>
    <w:rsid w:val="52387A8A"/>
    <w:rsid w:val="523E3B54"/>
    <w:rsid w:val="528660A0"/>
    <w:rsid w:val="531A5440"/>
    <w:rsid w:val="53D913B8"/>
    <w:rsid w:val="53E8286C"/>
    <w:rsid w:val="53F00677"/>
    <w:rsid w:val="54E76892"/>
    <w:rsid w:val="550D6C31"/>
    <w:rsid w:val="55A1705C"/>
    <w:rsid w:val="55C03035"/>
    <w:rsid w:val="560F0FE5"/>
    <w:rsid w:val="56556959"/>
    <w:rsid w:val="56AE0202"/>
    <w:rsid w:val="56D86E40"/>
    <w:rsid w:val="56F850E5"/>
    <w:rsid w:val="576669CB"/>
    <w:rsid w:val="57EA1A71"/>
    <w:rsid w:val="584F05FA"/>
    <w:rsid w:val="58615313"/>
    <w:rsid w:val="58630A04"/>
    <w:rsid w:val="586716E6"/>
    <w:rsid w:val="59351147"/>
    <w:rsid w:val="59374F3C"/>
    <w:rsid w:val="59674B9C"/>
    <w:rsid w:val="596F1026"/>
    <w:rsid w:val="5AF5733C"/>
    <w:rsid w:val="5BA638BA"/>
    <w:rsid w:val="5BD24FA5"/>
    <w:rsid w:val="5C157110"/>
    <w:rsid w:val="5C2437E7"/>
    <w:rsid w:val="5D0F0B89"/>
    <w:rsid w:val="5D6B26E9"/>
    <w:rsid w:val="5D941221"/>
    <w:rsid w:val="5DC130E2"/>
    <w:rsid w:val="5DED280A"/>
    <w:rsid w:val="5DF94934"/>
    <w:rsid w:val="5E4E2E8A"/>
    <w:rsid w:val="5E7B4603"/>
    <w:rsid w:val="5EC7045F"/>
    <w:rsid w:val="5F241500"/>
    <w:rsid w:val="5F426048"/>
    <w:rsid w:val="5F4D7FB7"/>
    <w:rsid w:val="5F723F16"/>
    <w:rsid w:val="5F9F743B"/>
    <w:rsid w:val="5FD72A79"/>
    <w:rsid w:val="5FEF530C"/>
    <w:rsid w:val="60AD6829"/>
    <w:rsid w:val="610C48B8"/>
    <w:rsid w:val="618C495E"/>
    <w:rsid w:val="61DB7E59"/>
    <w:rsid w:val="624B46F8"/>
    <w:rsid w:val="626E7B62"/>
    <w:rsid w:val="627747A9"/>
    <w:rsid w:val="629D0074"/>
    <w:rsid w:val="62E45E99"/>
    <w:rsid w:val="63314F7B"/>
    <w:rsid w:val="6340012A"/>
    <w:rsid w:val="63693971"/>
    <w:rsid w:val="637732A5"/>
    <w:rsid w:val="63E176CD"/>
    <w:rsid w:val="6416359C"/>
    <w:rsid w:val="642300D5"/>
    <w:rsid w:val="64250565"/>
    <w:rsid w:val="644D4CCA"/>
    <w:rsid w:val="645726B9"/>
    <w:rsid w:val="64637CFD"/>
    <w:rsid w:val="64B87B9E"/>
    <w:rsid w:val="65B35461"/>
    <w:rsid w:val="65B51DD7"/>
    <w:rsid w:val="65DD0B63"/>
    <w:rsid w:val="663B31A2"/>
    <w:rsid w:val="66863293"/>
    <w:rsid w:val="67A26E85"/>
    <w:rsid w:val="67C867BD"/>
    <w:rsid w:val="68CC2261"/>
    <w:rsid w:val="69194D44"/>
    <w:rsid w:val="693E652C"/>
    <w:rsid w:val="694F7EF5"/>
    <w:rsid w:val="695F370B"/>
    <w:rsid w:val="69613178"/>
    <w:rsid w:val="6B4B57F8"/>
    <w:rsid w:val="6B58716C"/>
    <w:rsid w:val="6C0C4BEA"/>
    <w:rsid w:val="6C653E06"/>
    <w:rsid w:val="6D535020"/>
    <w:rsid w:val="6DFB3CEE"/>
    <w:rsid w:val="6E1C0F69"/>
    <w:rsid w:val="6E467257"/>
    <w:rsid w:val="6EC809EE"/>
    <w:rsid w:val="6EE92E2F"/>
    <w:rsid w:val="6F3A5B43"/>
    <w:rsid w:val="6F74231D"/>
    <w:rsid w:val="6F75179E"/>
    <w:rsid w:val="70005517"/>
    <w:rsid w:val="701D79A6"/>
    <w:rsid w:val="703B21AB"/>
    <w:rsid w:val="70622634"/>
    <w:rsid w:val="707359D6"/>
    <w:rsid w:val="707C0EDE"/>
    <w:rsid w:val="712523F6"/>
    <w:rsid w:val="71544101"/>
    <w:rsid w:val="719E407C"/>
    <w:rsid w:val="71EF65CA"/>
    <w:rsid w:val="71F63E91"/>
    <w:rsid w:val="722D4E83"/>
    <w:rsid w:val="732D33CF"/>
    <w:rsid w:val="73337C3C"/>
    <w:rsid w:val="738821DB"/>
    <w:rsid w:val="73E462A2"/>
    <w:rsid w:val="74BE3D51"/>
    <w:rsid w:val="751E09E5"/>
    <w:rsid w:val="756245C6"/>
    <w:rsid w:val="75CE6DEF"/>
    <w:rsid w:val="76350F1C"/>
    <w:rsid w:val="769762F8"/>
    <w:rsid w:val="769A62E6"/>
    <w:rsid w:val="77A771B2"/>
    <w:rsid w:val="780E6DF6"/>
    <w:rsid w:val="78344F90"/>
    <w:rsid w:val="793763E3"/>
    <w:rsid w:val="7B630864"/>
    <w:rsid w:val="7B860C13"/>
    <w:rsid w:val="7BCC2B7B"/>
    <w:rsid w:val="7BD34E18"/>
    <w:rsid w:val="7BE07E03"/>
    <w:rsid w:val="7BF05AEE"/>
    <w:rsid w:val="7C4D012E"/>
    <w:rsid w:val="7C682F74"/>
    <w:rsid w:val="7CAA41AE"/>
    <w:rsid w:val="7CD57298"/>
    <w:rsid w:val="7D162858"/>
    <w:rsid w:val="7D6D7ACF"/>
    <w:rsid w:val="7D91080E"/>
    <w:rsid w:val="7E341BBF"/>
    <w:rsid w:val="7EB36C5B"/>
    <w:rsid w:val="7EC0453B"/>
    <w:rsid w:val="7ED40F52"/>
    <w:rsid w:val="7F2064CA"/>
    <w:rsid w:val="7F797A23"/>
    <w:rsid w:val="7F97517D"/>
    <w:rsid w:val="7FE15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0"/>
    <w:pPr>
      <w:spacing w:after="12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First Indent"/>
    <w:basedOn w:val="3"/>
    <w:qFormat/>
    <w:uiPriority w:val="0"/>
    <w:pPr>
      <w:ind w:firstLine="420" w:firstLineChars="100"/>
    </w:pPr>
    <w:rPr>
      <w:rFonts w:ascii="Calibri" w:hAnsi="Calibri" w:eastAsia="宋体"/>
      <w:kern w:val="0"/>
      <w:sz w:val="20"/>
      <w:szCs w:val="20"/>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paragraph" w:customStyle="1" w:styleId="11">
    <w:name w:val="Acetate"/>
    <w:basedOn w:val="1"/>
    <w:semiHidden/>
    <w:qFormat/>
    <w:uiPriority w:val="0"/>
    <w:pPr>
      <w:textAlignment w:val="baseline"/>
    </w:pPr>
    <w:rPr>
      <w:rFonts w:ascii="Calibri" w:hAnsi="Calibri" w:eastAsia="宋体"/>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10</Pages>
  <Words>2665</Words>
  <Characters>2754</Characters>
  <Lines>0</Lines>
  <Paragraphs>0</Paragraphs>
  <TotalTime>3</TotalTime>
  <ScaleCrop>false</ScaleCrop>
  <LinksUpToDate>false</LinksUpToDate>
  <CharactersWithSpaces>2777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2018-08-21T01:45:00Z</dcterms:created>
  <dc:creator>青花</dc:creator>
  <cp:lastModifiedBy>心雨是个小胖子</cp:lastModifiedBy>
  <cp:lastPrinted>2022-06-01T09:58:13Z</cp:lastPrinted>
  <dcterms:modified xsi:type="dcterms:W3CDTF">2022-06-01T09:58:58Z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EF2F31803FB84BA4A2BBEFD650B3B787</vt:lpwstr>
  </property>
  <property fmtid="{D5CDD505-2E9C-101B-9397-08002B2CF9AE}" pid="4" name="KSOSaveFontToCloudKey">
    <vt:lpwstr>754137428_embed</vt:lpwstr>
  </property>
</Properties>
</file>