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38" w:afterLines="1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泉理工团</w:t>
      </w:r>
      <w:r>
        <w:rPr>
          <w:rFonts w:hint="eastAsia" w:ascii="仿宋_GB2312" w:hAnsi="Calibri" w:eastAsia="仿宋_GB2312"/>
          <w:sz w:val="32"/>
          <w:szCs w:val="32"/>
        </w:rPr>
        <w:t>〔</w:t>
      </w:r>
      <w:r>
        <w:rPr>
          <w:rFonts w:hint="eastAsia" w:ascii="仿宋_GB2312" w:hAnsi="仿宋" w:eastAsia="仿宋_GB2312"/>
          <w:sz w:val="32"/>
        </w:rPr>
        <w:t>201</w:t>
      </w:r>
      <w:r>
        <w:rPr>
          <w:rFonts w:hint="eastAsia" w:ascii="仿宋_GB2312" w:hAnsi="仿宋" w:eastAsia="仿宋_GB2312"/>
          <w:sz w:val="32"/>
          <w:lang w:val="en-US" w:eastAsia="zh-CN"/>
        </w:rPr>
        <w:t>9</w:t>
      </w:r>
      <w:r>
        <w:rPr>
          <w:rFonts w:hint="eastAsia" w:ascii="仿宋_GB2312" w:hAnsi="Calibri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9" w:beforeLines="200" w:after="480" w:afterLines="1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</w:rPr>
        <w:t>关于2018年度志愿服务活动评优表彰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</w:rPr>
        <w:t>决议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团总支、各学生组织：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根据《关于开展“学雷锋志愿服务月”之2018年度志愿服务活动评优表彰工作》（泉理工团〔201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，在各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书院团总支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（学生组织）提名推荐、团总支初审的基础上，经研究决定：授予凌鑫鑫等3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位同学“志愿服务优秀个人”荣誉称号，授予安海文创中心民俗活动项目等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个志愿服务项目为“优秀志愿服务项目”称号，授予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一善书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院志愿服务大队等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个志愿服务队为“优秀志愿服务团队”称号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，认定陈景彬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位同学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“二星级志愿者”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称号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希望受表彰的组织及个人 ，戒骄戒躁，百尺竿头，更进一步；希望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各书院团学及各级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学生组织加强宣传，进一步激发广大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团员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干部和青年向受表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彰的向受表彰的先进典型学习，为志愿服务工作和推进美好校园建设做出更大贡献。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sectPr>
          <w:pgSz w:w="11906" w:h="16838"/>
          <w:pgMar w:top="4535" w:right="1077" w:bottom="1440" w:left="1191" w:header="851" w:footer="992" w:gutter="0"/>
          <w:paperSrc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附件：泉州理工职业学院2018年度志愿服务活动评优表彰名单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共青团泉州理工职业学院委员会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2019年3月31日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38" w:afterLines="1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38" w:afterLines="1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38" w:afterLines="1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38" w:afterLines="1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38" w:afterLines="1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2"/>
        </w:rPr>
      </w:pPr>
    </w:p>
    <w:tbl>
      <w:tblPr>
        <w:tblStyle w:val="3"/>
        <w:tblpPr w:leftFromText="180" w:rightFromText="180" w:vertAnchor="text" w:horzAnchor="page" w:tblpX="1270" w:tblpY="3460"/>
        <w:tblW w:w="9501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01" w:type="dxa"/>
            <w:noWrap w:val="0"/>
            <w:vAlign w:val="top"/>
          </w:tcPr>
          <w:p>
            <w:pPr>
              <w:spacing w:after="31" w:afterLines="10"/>
              <w:rPr>
                <w:rFonts w:ascii="仿宋" w:hAnsi="仿宋"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抄送：校领导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  <w:lang w:eastAsia="zh-CN"/>
              </w:rPr>
              <w:t>、各书院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 xml:space="preserve">                                     存档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01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  <w:lang w:eastAsia="zh-CN"/>
              </w:rPr>
              <w:t>共青团泉州理工职业学院委员会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 xml:space="preserve">                  201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38" w:afterLines="1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2"/>
        </w:rPr>
      </w:pPr>
    </w:p>
    <w:p>
      <w:pPr>
        <w:sectPr>
          <w:pgSz w:w="11906" w:h="16838"/>
          <w:pgMar w:top="1440" w:right="1077" w:bottom="1440" w:left="1191" w:header="851" w:footer="992" w:gutter="0"/>
          <w:paperSrc/>
          <w:cols w:space="0" w:num="1"/>
          <w:rtlGutter w:val="0"/>
          <w:docGrid w:type="lines" w:linePitch="319" w:charSpace="0"/>
        </w:sect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泉州理工职业学院2018年度志愿服务活动评优表彰名单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 w:eastAsia="仿宋_GB2312"/>
          <w:b/>
          <w:kern w:val="10"/>
          <w:sz w:val="32"/>
          <w:szCs w:val="32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  <w:lang w:val="en-US" w:eastAsia="zh-CN"/>
        </w:rPr>
        <w:t>2018年度</w:t>
      </w:r>
      <w:r>
        <w:rPr>
          <w:rFonts w:hint="eastAsia" w:ascii="仿宋_GB2312" w:hAnsi="仿宋" w:eastAsia="仿宋_GB2312"/>
          <w:b/>
          <w:kern w:val="10"/>
          <w:sz w:val="32"/>
          <w:szCs w:val="32"/>
        </w:rPr>
        <w:t>优秀志愿服务团队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val="en-US" w:eastAsia="zh-CN"/>
        </w:rPr>
        <w:t>4支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kern w:val="10"/>
          <w:sz w:val="32"/>
          <w:szCs w:val="32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一善书院志愿服务大队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双馨书院志愿服务大队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书院志愿服务大队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 w:eastAsia="仿宋_GB2312"/>
          <w:b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四实书院志愿服务大队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/>
          <w:kern w:val="10"/>
          <w:sz w:val="32"/>
          <w:szCs w:val="32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  <w:lang w:val="en-US" w:eastAsia="zh-CN"/>
        </w:rPr>
        <w:t>2018年度</w:t>
      </w:r>
      <w:r>
        <w:rPr>
          <w:rFonts w:hint="eastAsia" w:ascii="仿宋_GB2312" w:hAnsi="仿宋" w:eastAsia="仿宋_GB2312"/>
          <w:b/>
          <w:kern w:val="10"/>
          <w:sz w:val="32"/>
          <w:szCs w:val="32"/>
        </w:rPr>
        <w:t>优秀志愿服务项目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val="en-US" w:eastAsia="zh-CN"/>
        </w:rPr>
        <w:t>7个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kern w:val="1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一善书院：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安海文创中心民俗活动项目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安海医院助力同行项目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美丽乡村改造项目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双馨书院：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“情暖夕阳”关爱空巢老人项目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三创书院：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携手绿水青山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四实书院：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亚洲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大体联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足球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亚洲杯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中国赛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/>
          <w:kern w:val="10"/>
          <w:sz w:val="32"/>
          <w:szCs w:val="32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青年志愿者协会：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亚洲大体联足球亚洲杯项目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</w:rPr>
        <w:t>志愿服务优秀个人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val="en-US" w:eastAsia="zh-CN"/>
        </w:rPr>
        <w:t>34名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</w:rPr>
        <w:t>一善书院：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凌鑫鑫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刘婉婷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应兆钢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</w:rPr>
        <w:t>双馨书院：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赖小萍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丁津津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郭俊炜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繆鹏辉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魏如宝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</w:rPr>
        <w:t>三创书院：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赖秀娟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石焕仙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</w:rPr>
        <w:t>四实书院：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高志宇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吴堂仁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余剑飞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钟盛峰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</w:rPr>
        <w:t>青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年志愿者</w:t>
      </w:r>
      <w:r>
        <w:rPr>
          <w:rFonts w:hint="eastAsia" w:ascii="仿宋_GB2312" w:hAnsi="仿宋" w:eastAsia="仿宋_GB2312"/>
          <w:b/>
          <w:kern w:val="10"/>
          <w:sz w:val="32"/>
          <w:szCs w:val="32"/>
        </w:rPr>
        <w:t>协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会</w:t>
      </w:r>
      <w:r>
        <w:rPr>
          <w:rFonts w:hint="eastAsia" w:ascii="仿宋_GB2312" w:hAnsi="仿宋" w:eastAsia="仿宋_GB2312"/>
          <w:b/>
          <w:kern w:val="10"/>
          <w:sz w:val="32"/>
          <w:szCs w:val="32"/>
        </w:rPr>
        <w:t>：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蔡陵峰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黄红铭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黄智荣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江巧敏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赖聪杰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欧阳丽英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上官琪琪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谢火平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郑淑婷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校学生联合会：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叶建鑫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廖修燕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郑锦城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王明响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王垚灯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二星级志愿者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val="en-US" w:eastAsia="zh-CN"/>
        </w:rPr>
        <w:t>10名</w:t>
      </w:r>
      <w:r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陈景彬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赖葛斌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林青娇  凌鑫鑫  刘婉婷   魏  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颜  强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应兆钢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詹敬强</w:t>
      </w:r>
    </w:p>
    <w:p>
      <w:pPr>
        <w:spacing w:line="560" w:lineRule="exact"/>
        <w:jc w:val="both"/>
        <w:rPr>
          <w:rFonts w:hint="eastAsia" w:ascii="仿宋_GB2312" w:hAnsi="仿宋" w:eastAsia="仿宋_GB2312"/>
          <w:b/>
          <w:kern w:val="10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077" w:bottom="1440" w:left="1191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9248A"/>
    <w:rsid w:val="0A64711D"/>
    <w:rsid w:val="0F916457"/>
    <w:rsid w:val="1729248A"/>
    <w:rsid w:val="2ACD3D13"/>
    <w:rsid w:val="2E151EF2"/>
    <w:rsid w:val="4B7463A6"/>
    <w:rsid w:val="4F5D204D"/>
    <w:rsid w:val="4F884D82"/>
    <w:rsid w:val="54F3603A"/>
    <w:rsid w:val="599C7248"/>
    <w:rsid w:val="615A53F5"/>
    <w:rsid w:val="7B287DAD"/>
    <w:rsid w:val="7D3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2019-03-27T01:20:00Z</dcterms:created>
  <dc:creator>Administrator</dc:creator>
  <cp:lastModifiedBy>Administrator</cp:lastModifiedBy>
  <cp:lastPrinted>2019-03-27T14:15:00Z</cp:lastPrinted>
  <dcterms:modified xsi:type="dcterms:W3CDTF">2019-03-31T08:25:25Z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