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0E2" w:rsidRDefault="00CB70A1">
      <w:pPr>
        <w:spacing w:line="560" w:lineRule="exact"/>
        <w:jc w:val="center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泉理工科〔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2018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〕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6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号</w:t>
      </w:r>
    </w:p>
    <w:p w:rsidR="00DF60E2" w:rsidRDefault="00CB70A1">
      <w:pPr>
        <w:spacing w:beforeLines="200" w:before="48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关于做好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2018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年度下半年福建省中青年教师</w:t>
      </w:r>
    </w:p>
    <w:p w:rsidR="00DF60E2" w:rsidRDefault="00CB70A1">
      <w:pPr>
        <w:spacing w:afterLines="100" w:after="24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教育科研项目结题工作的通知</w:t>
      </w:r>
    </w:p>
    <w:p w:rsidR="00DF60E2" w:rsidRDefault="00CB70A1">
      <w:pPr>
        <w:spacing w:line="560" w:lineRule="exact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学校各单位：</w:t>
      </w:r>
    </w:p>
    <w:p w:rsidR="00DF60E2" w:rsidRPr="00CB70A1" w:rsidRDefault="00CB70A1">
      <w:pPr>
        <w:spacing w:line="56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根据《福建省教育厅办公室关于做好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2018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年度下半年福建省中青年教师教育科研项目结题工作的通知》（</w:t>
      </w:r>
      <w:proofErr w:type="gramStart"/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闽教办科</w:t>
      </w:r>
      <w:proofErr w:type="gramEnd"/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〔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2018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〕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17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号）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文件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精神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，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2018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年度上半年福建省中青年教师教育科研项目结题工作已启动，现将有关事项通知如下：</w:t>
      </w:r>
    </w:p>
    <w:p w:rsidR="00DF60E2" w:rsidRPr="00CB70A1" w:rsidRDefault="00CB70A1">
      <w:pPr>
        <w:spacing w:line="560" w:lineRule="exact"/>
        <w:ind w:firstLineChars="200" w:firstLine="640"/>
        <w:rPr>
          <w:rFonts w:ascii="仿宋_GB2312" w:eastAsia="仿宋_GB2312" w:hAnsi="宋体" w:cs="Times New Roman"/>
          <w:color w:val="000000"/>
          <w:sz w:val="32"/>
          <w:szCs w:val="32"/>
        </w:rPr>
        <w:sectPr w:rsidR="00DF60E2" w:rsidRPr="00CB70A1">
          <w:pgSz w:w="11906" w:h="16838"/>
          <w:pgMar w:top="4536" w:right="1077" w:bottom="1440" w:left="1191" w:header="851" w:footer="992" w:gutter="0"/>
          <w:cols w:space="425"/>
          <w:docGrid w:linePitch="312"/>
        </w:sectPr>
      </w:pP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因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此次项目结题由教育厅统一组织审核，采取纸质方式，不通过“福建省中青年教师教育科研项目申报系统”网上平台办理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，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所以</w:t>
      </w:r>
      <w:proofErr w:type="gramStart"/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请申请</w:t>
      </w:r>
      <w:proofErr w:type="gramEnd"/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结题课题负责人按照《福建</w:t>
      </w:r>
      <w:bookmarkStart w:id="0" w:name="_GoBack"/>
      <w:bookmarkEnd w:id="0"/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省中青年教师教育科研项目管理暂行办法》（</w:t>
      </w:r>
      <w:proofErr w:type="gramStart"/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闽教综</w:t>
      </w:r>
      <w:proofErr w:type="gramEnd"/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〔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2013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〕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27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号）要求，认真做好项目结题工作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并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于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9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月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29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日前将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纸质版材料（含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结题报告书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、佐证材料，各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一式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2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份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）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报送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到科研处，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其中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佐证材料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包括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发表的论文（包括期刊的封面，目录，版权页，论文的内容）、专利或者正式出版的专著等。电子</w:t>
      </w:r>
      <w:proofErr w:type="gramStart"/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档</w:t>
      </w:r>
      <w:proofErr w:type="gramEnd"/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材料（含结题报告书和佐证材料扫描件）请以个人姓名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+**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年立项的格式命名并发送至邮箱</w:t>
      </w:r>
      <w:hyperlink r:id="rId6" w:history="1">
        <w:r w:rsidRPr="00CB70A1">
          <w:rPr>
            <w:rFonts w:ascii="仿宋_GB2312" w:eastAsia="仿宋_GB2312" w:hAnsi="宋体" w:cs="Times New Roman" w:hint="eastAsia"/>
            <w:color w:val="000000"/>
            <w:sz w:val="32"/>
            <w:szCs w:val="32"/>
          </w:rPr>
          <w:t>343755198@qq.com</w:t>
        </w:r>
      </w:hyperlink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。请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大家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及时报送相关材料，逾期不予受理。</w:t>
      </w:r>
    </w:p>
    <w:p w:rsidR="00DF60E2" w:rsidRDefault="00CB70A1">
      <w:pPr>
        <w:spacing w:line="560" w:lineRule="exact"/>
        <w:ind w:firstLineChars="200" w:firstLine="640"/>
        <w:rPr>
          <w:rFonts w:ascii="仿宋_GB2312" w:eastAsia="仿宋_GB2312" w:hAnsi="宋体" w:cs="Times New Roman"/>
          <w:color w:val="000000"/>
          <w:sz w:val="32"/>
          <w:szCs w:val="32"/>
        </w:rPr>
      </w:pP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lastRenderedPageBreak/>
        <w:t>此外，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超过执行期截止时限（执行期自立项文件公布之日起计算，最长不超过三年）申请结题的，应在项目结题申请书后附上延期申请报告；即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2015</w:t>
      </w:r>
      <w:r w:rsidRPr="00CB70A1">
        <w:rPr>
          <w:rFonts w:ascii="仿宋_GB2312" w:eastAsia="仿宋_GB2312" w:hAnsi="宋体" w:cs="Times New Roman" w:hint="eastAsia"/>
          <w:color w:val="000000"/>
          <w:sz w:val="32"/>
          <w:szCs w:val="32"/>
        </w:rPr>
        <w:t>年以前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（含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2015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年）立项的所有项目结题必须附上延期申请报告。超过执行期截止时限一年以上申请结题的，延期申请报告表应有明确、充分和必要的延期理由。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2019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年起，省厅原则上不受理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2013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年及以前立项的项目结题申请，以此类推。</w:t>
      </w:r>
    </w:p>
    <w:p w:rsidR="00DF60E2" w:rsidRDefault="00CB70A1">
      <w:pPr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因各专项结题要求不同，</w:t>
      </w:r>
      <w:proofErr w:type="gramStart"/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请项目</w:t>
      </w:r>
      <w:proofErr w:type="gramEnd"/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负责人务必高度重视，项目结题申请书封面及项目结题汇总表备注栏均应标</w:t>
      </w:r>
      <w:proofErr w:type="gramStart"/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明项目</w:t>
      </w:r>
      <w:proofErr w:type="gramEnd"/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所属专项，否则一律按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非专项项目结题要求予以审核。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文末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所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附文件，请自行到科研处网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站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（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网址</w:t>
      </w:r>
      <w:r>
        <w:rPr>
          <w:rFonts w:ascii="仿宋_GB2312" w:eastAsia="仿宋_GB2312" w:hAnsi="宋体"/>
          <w:color w:val="000000"/>
          <w:sz w:val="24"/>
          <w:szCs w:val="24"/>
        </w:rPr>
        <w:t>http://kyc.qzit.edu.cn/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）或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OA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系统“校务公开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-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红头文件”下载。</w:t>
      </w:r>
    </w:p>
    <w:p w:rsidR="00DF60E2" w:rsidRDefault="00DF60E2">
      <w:pPr>
        <w:spacing w:line="560" w:lineRule="exact"/>
        <w:ind w:firstLineChars="200" w:firstLine="640"/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DF60E2" w:rsidRDefault="00CB70A1" w:rsidP="00144DE2">
      <w:pPr>
        <w:spacing w:line="560" w:lineRule="exact"/>
        <w:ind w:leftChars="329" w:left="1811" w:hangingChars="350" w:hanging="112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附件：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1.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《福建省教育厅办公室关于做好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2018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年度下半年福建省中青年教师教育科研项目结题工作的通知》（</w:t>
      </w:r>
      <w:proofErr w:type="gramStart"/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闽教综</w:t>
      </w:r>
      <w:proofErr w:type="gramEnd"/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〔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2013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〕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27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号）</w:t>
      </w:r>
    </w:p>
    <w:p w:rsidR="00DF60E2" w:rsidRDefault="00CB70A1">
      <w:pPr>
        <w:spacing w:line="560" w:lineRule="exact"/>
        <w:ind w:firstLineChars="200" w:firstLine="64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Ansi="宋体" w:cs="Times New Roman" w:hint="eastAsia"/>
          <w:color w:val="000000"/>
          <w:sz w:val="36"/>
          <w:szCs w:val="36"/>
        </w:rPr>
        <w:t xml:space="preserve">  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 xml:space="preserve"> </w:t>
      </w:r>
      <w:r w:rsidR="00144DE2">
        <w:rPr>
          <w:rFonts w:ascii="仿宋_GB2312" w:eastAsia="仿宋_GB2312" w:hAnsi="宋体" w:cs="Times New Roman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2.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《福建省中青年教师教育科研项目延期申请报告》</w:t>
      </w:r>
    </w:p>
    <w:p w:rsidR="00DF60E2" w:rsidRDefault="00CB70A1">
      <w:pPr>
        <w:spacing w:line="560" w:lineRule="exact"/>
        <w:ind w:firstLineChars="200" w:firstLine="64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Ansi="宋体" w:cs="Times New Roman" w:hint="eastAsia"/>
          <w:color w:val="000000"/>
          <w:sz w:val="36"/>
          <w:szCs w:val="36"/>
        </w:rPr>
        <w:t xml:space="preserve">  </w:t>
      </w:r>
      <w:r w:rsidR="00144DE2">
        <w:rPr>
          <w:rFonts w:ascii="仿宋_GB2312" w:eastAsia="仿宋_GB2312" w:hAnsi="宋体" w:cs="Times New Roman" w:hint="eastAsia"/>
          <w:color w:val="000000"/>
          <w:sz w:val="36"/>
          <w:szCs w:val="36"/>
        </w:rPr>
        <w:t xml:space="preserve"> 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 xml:space="preserve"> 3.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《福建省中青年教师教育科研项目管理暂行办法》</w:t>
      </w:r>
    </w:p>
    <w:tbl>
      <w:tblPr>
        <w:tblpPr w:leftFromText="180" w:rightFromText="180" w:vertAnchor="text" w:horzAnchor="page" w:tblpX="1382" w:tblpY="3057"/>
        <w:tblW w:w="9501" w:type="dxa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1"/>
      </w:tblGrid>
      <w:tr w:rsidR="00DF60E2">
        <w:trPr>
          <w:trHeight w:val="533"/>
        </w:trPr>
        <w:tc>
          <w:tcPr>
            <w:tcW w:w="9501" w:type="dxa"/>
          </w:tcPr>
          <w:p w:rsidR="00DF60E2" w:rsidRDefault="00CB70A1">
            <w:pPr>
              <w:spacing w:afterLines="10" w:after="24" w:line="560" w:lineRule="exact"/>
              <w:ind w:firstLineChars="50" w:firstLine="140"/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抄送：校领导</w:t>
            </w: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存档</w:t>
            </w: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份</w:t>
            </w:r>
          </w:p>
        </w:tc>
      </w:tr>
      <w:tr w:rsidR="00DF60E2">
        <w:trPr>
          <w:trHeight w:val="601"/>
        </w:trPr>
        <w:tc>
          <w:tcPr>
            <w:tcW w:w="9501" w:type="dxa"/>
            <w:vAlign w:val="center"/>
          </w:tcPr>
          <w:p w:rsidR="00DF60E2" w:rsidRDefault="00CB70A1">
            <w:pPr>
              <w:spacing w:line="560" w:lineRule="exact"/>
              <w:ind w:firstLineChars="50" w:firstLine="140"/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泉州理工职业学院党政办公室</w:t>
            </w: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 xml:space="preserve">                    2018</w:t>
            </w: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9</w:t>
            </w: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日印发</w:t>
            </w: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 xml:space="preserve"> </w:t>
            </w:r>
          </w:p>
        </w:tc>
      </w:tr>
    </w:tbl>
    <w:p w:rsidR="00DF60E2" w:rsidRDefault="00DF60E2">
      <w:pPr>
        <w:spacing w:line="560" w:lineRule="exact"/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DF60E2" w:rsidRDefault="00CB70A1">
      <w:pPr>
        <w:spacing w:line="560" w:lineRule="exact"/>
        <w:ind w:firstLineChars="1700" w:firstLine="544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泉州理工职业学院科研处</w:t>
      </w:r>
    </w:p>
    <w:p w:rsidR="00DF60E2" w:rsidRDefault="00CB70A1">
      <w:pPr>
        <w:spacing w:line="560" w:lineRule="exact"/>
        <w:ind w:firstLineChars="1900" w:firstLine="608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2018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年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9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月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5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日</w:t>
      </w:r>
    </w:p>
    <w:p w:rsidR="00DF60E2" w:rsidRDefault="00DF60E2">
      <w:pPr>
        <w:spacing w:line="560" w:lineRule="exact"/>
        <w:rPr>
          <w:rFonts w:ascii="仿宋" w:eastAsia="仿宋" w:hAnsi="仿宋"/>
          <w:sz w:val="30"/>
          <w:szCs w:val="30"/>
        </w:rPr>
      </w:pPr>
    </w:p>
    <w:sectPr w:rsidR="00DF60E2">
      <w:pgSz w:w="11906" w:h="16838"/>
      <w:pgMar w:top="1440" w:right="1077" w:bottom="1440" w:left="1191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3A"/>
    <w:rsid w:val="0003222F"/>
    <w:rsid w:val="00042EC1"/>
    <w:rsid w:val="00063F5B"/>
    <w:rsid w:val="00080FC6"/>
    <w:rsid w:val="000A45CB"/>
    <w:rsid w:val="00144DE2"/>
    <w:rsid w:val="0025498B"/>
    <w:rsid w:val="0026714B"/>
    <w:rsid w:val="005312C8"/>
    <w:rsid w:val="005A5D74"/>
    <w:rsid w:val="005D5ED1"/>
    <w:rsid w:val="00601A3A"/>
    <w:rsid w:val="00603736"/>
    <w:rsid w:val="006416B3"/>
    <w:rsid w:val="00757AAD"/>
    <w:rsid w:val="007822E0"/>
    <w:rsid w:val="007D25B6"/>
    <w:rsid w:val="00800EC0"/>
    <w:rsid w:val="00840391"/>
    <w:rsid w:val="00881766"/>
    <w:rsid w:val="008832D8"/>
    <w:rsid w:val="0088487D"/>
    <w:rsid w:val="00885436"/>
    <w:rsid w:val="008E7B32"/>
    <w:rsid w:val="00904D32"/>
    <w:rsid w:val="00923D72"/>
    <w:rsid w:val="00A01593"/>
    <w:rsid w:val="00A03614"/>
    <w:rsid w:val="00A06B41"/>
    <w:rsid w:val="00A1029E"/>
    <w:rsid w:val="00AA0246"/>
    <w:rsid w:val="00AE172A"/>
    <w:rsid w:val="00BA6E17"/>
    <w:rsid w:val="00BB58AA"/>
    <w:rsid w:val="00BE5906"/>
    <w:rsid w:val="00CB70A1"/>
    <w:rsid w:val="00CE52B7"/>
    <w:rsid w:val="00CF6B31"/>
    <w:rsid w:val="00D32694"/>
    <w:rsid w:val="00D45DE4"/>
    <w:rsid w:val="00D7298B"/>
    <w:rsid w:val="00D81B57"/>
    <w:rsid w:val="00DC5640"/>
    <w:rsid w:val="00DF60E2"/>
    <w:rsid w:val="00E3019E"/>
    <w:rsid w:val="00E5053A"/>
    <w:rsid w:val="00EB639D"/>
    <w:rsid w:val="00ED33A5"/>
    <w:rsid w:val="00EE6950"/>
    <w:rsid w:val="00F3743A"/>
    <w:rsid w:val="00FE027A"/>
    <w:rsid w:val="360D0372"/>
    <w:rsid w:val="42D4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333333"/>
      <w:u w:val="non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-metas1">
    <w:name w:val="arti-metas1"/>
    <w:basedOn w:val="a"/>
    <w:qFormat/>
    <w:pPr>
      <w:widowControl/>
      <w:spacing w:line="240" w:lineRule="atLeast"/>
      <w:jc w:val="center"/>
    </w:pPr>
    <w:rPr>
      <w:rFonts w:ascii="微软雅黑" w:eastAsia="微软雅黑" w:hAnsi="微软雅黑" w:cs="宋体"/>
      <w:color w:val="333333"/>
      <w:kern w:val="0"/>
      <w:szCs w:val="21"/>
    </w:rPr>
  </w:style>
  <w:style w:type="paragraph" w:customStyle="1" w:styleId="setting-item1">
    <w:name w:val="setting-item1"/>
    <w:basedOn w:val="a"/>
    <w:qFormat/>
    <w:pPr>
      <w:widowControl/>
      <w:spacing w:before="100" w:beforeAutospacing="1" w:after="100" w:afterAutospacing="1"/>
      <w:jc w:val="left"/>
    </w:pPr>
    <w:rPr>
      <w:rFonts w:ascii="微软雅黑" w:eastAsia="微软雅黑" w:hAnsi="微软雅黑" w:cs="宋体"/>
      <w:color w:val="333333"/>
      <w:kern w:val="0"/>
      <w:szCs w:val="21"/>
    </w:rPr>
  </w:style>
  <w:style w:type="character" w:customStyle="1" w:styleId="wpvisitcount1">
    <w:name w:val="wp_visitcount1"/>
    <w:basedOn w:val="a0"/>
    <w:qFormat/>
    <w:rPr>
      <w:vanish/>
      <w:color w:val="787878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333333"/>
      <w:u w:val="non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-metas1">
    <w:name w:val="arti-metas1"/>
    <w:basedOn w:val="a"/>
    <w:qFormat/>
    <w:pPr>
      <w:widowControl/>
      <w:spacing w:line="240" w:lineRule="atLeast"/>
      <w:jc w:val="center"/>
    </w:pPr>
    <w:rPr>
      <w:rFonts w:ascii="微软雅黑" w:eastAsia="微软雅黑" w:hAnsi="微软雅黑" w:cs="宋体"/>
      <w:color w:val="333333"/>
      <w:kern w:val="0"/>
      <w:szCs w:val="21"/>
    </w:rPr>
  </w:style>
  <w:style w:type="paragraph" w:customStyle="1" w:styleId="setting-item1">
    <w:name w:val="setting-item1"/>
    <w:basedOn w:val="a"/>
    <w:qFormat/>
    <w:pPr>
      <w:widowControl/>
      <w:spacing w:before="100" w:beforeAutospacing="1" w:after="100" w:afterAutospacing="1"/>
      <w:jc w:val="left"/>
    </w:pPr>
    <w:rPr>
      <w:rFonts w:ascii="微软雅黑" w:eastAsia="微软雅黑" w:hAnsi="微软雅黑" w:cs="宋体"/>
      <w:color w:val="333333"/>
      <w:kern w:val="0"/>
      <w:szCs w:val="21"/>
    </w:rPr>
  </w:style>
  <w:style w:type="character" w:customStyle="1" w:styleId="wpvisitcount1">
    <w:name w:val="wp_visitcount1"/>
    <w:basedOn w:val="a0"/>
    <w:qFormat/>
    <w:rPr>
      <w:vanish/>
      <w:color w:val="787878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343755198@qq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158</Words>
  <Characters>907</Characters>
  <Application>Microsoft Office Word</Application>
  <DocSecurity>0</DocSecurity>
  <Lines>7</Lines>
  <Paragraphs>2</Paragraphs>
  <ScaleCrop>false</ScaleCrop>
  <Company>china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AutoBVT</cp:lastModifiedBy>
  <cp:revision>61</cp:revision>
  <cp:lastPrinted>2018-09-06T08:28:00Z</cp:lastPrinted>
  <dcterms:created xsi:type="dcterms:W3CDTF">2018-05-04T01:25:00Z</dcterms:created>
  <dcterms:modified xsi:type="dcterms:W3CDTF">2018-09-07T06:43:00Z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