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bookmarkStart w:id="0" w:name="_GoBack"/>
      <w:r>
        <w:rPr>
          <w:rFonts w:hint="eastAsia"/>
          <w:b/>
          <w:bCs/>
          <w:sz w:val="28"/>
          <w:szCs w:val="28"/>
          <w:lang w:val="en-US" w:eastAsia="zh-CN"/>
        </w:rPr>
        <w:t>泉州理工教育基金会财务管理办法</w:t>
      </w:r>
    </w:p>
    <w:bookmarkEnd w:id="0"/>
    <w:p>
      <w:pPr>
        <w:spacing w:line="240" w:lineRule="auto"/>
        <w:ind w:firstLine="560" w:firstLineChars="200"/>
        <w:jc w:val="center"/>
        <w:rPr>
          <w:rFonts w:asciiTheme="minorEastAsia" w:hAnsiTheme="minorEastAsia"/>
          <w:b w:val="0"/>
          <w:bCs w:val="0"/>
          <w:sz w:val="28"/>
          <w:szCs w:val="28"/>
        </w:rPr>
      </w:pPr>
      <w:r>
        <w:rPr>
          <w:rFonts w:hint="eastAsia" w:asciiTheme="minorEastAsia" w:hAnsiTheme="minorEastAsia"/>
          <w:b w:val="0"/>
          <w:bCs w:val="0"/>
          <w:sz w:val="28"/>
          <w:szCs w:val="28"/>
        </w:rPr>
        <w:t>第一章</w:t>
      </w:r>
      <w:r>
        <w:rPr>
          <w:rFonts w:hint="eastAsia" w:asciiTheme="minorEastAsia" w:hAnsiTheme="minorEastAsia"/>
          <w:b w:val="0"/>
          <w:bCs w:val="0"/>
          <w:sz w:val="28"/>
          <w:szCs w:val="28"/>
          <w:lang w:val="en-US" w:eastAsia="zh-CN"/>
        </w:rPr>
        <w:t xml:space="preserve">  </w:t>
      </w:r>
      <w:r>
        <w:rPr>
          <w:rFonts w:hint="eastAsia" w:asciiTheme="minorEastAsia" w:hAnsiTheme="minorEastAsia"/>
          <w:b w:val="0"/>
          <w:bCs w:val="0"/>
          <w:sz w:val="28"/>
          <w:szCs w:val="28"/>
        </w:rPr>
        <w:t>总则</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asciiTheme="minorEastAsia" w:hAnsiTheme="minorEastAsia"/>
          <w:sz w:val="24"/>
          <w:szCs w:val="24"/>
        </w:rPr>
      </w:pPr>
      <w:r>
        <w:rPr>
          <w:rFonts w:hint="eastAsia" w:asciiTheme="minorEastAsia" w:hAnsiTheme="minorEastAsia"/>
          <w:sz w:val="24"/>
          <w:szCs w:val="24"/>
        </w:rPr>
        <w:t>为规范和加强泉州理工教育发展基金会（以下简称</w:t>
      </w:r>
      <w:r>
        <w:rPr>
          <w:rFonts w:hint="eastAsia" w:asciiTheme="minorEastAsia" w:hAnsiTheme="minorEastAsia"/>
          <w:sz w:val="24"/>
          <w:szCs w:val="24"/>
          <w:lang w:eastAsia="zh-CN"/>
        </w:rPr>
        <w:t>“</w:t>
      </w:r>
      <w:r>
        <w:rPr>
          <w:rFonts w:hint="eastAsia" w:asciiTheme="minorEastAsia" w:hAnsiTheme="minorEastAsia"/>
          <w:sz w:val="24"/>
          <w:szCs w:val="24"/>
        </w:rPr>
        <w:t>基金会</w:t>
      </w:r>
      <w:r>
        <w:rPr>
          <w:rFonts w:hint="eastAsia" w:asciiTheme="minorEastAsia" w:hAnsiTheme="minorEastAsia"/>
          <w:sz w:val="24"/>
          <w:szCs w:val="24"/>
          <w:lang w:eastAsia="zh-CN"/>
        </w:rPr>
        <w:t>”</w:t>
      </w:r>
      <w:r>
        <w:rPr>
          <w:rFonts w:hint="eastAsia" w:asciiTheme="minorEastAsia" w:hAnsiTheme="minorEastAsia"/>
          <w:sz w:val="24"/>
          <w:szCs w:val="24"/>
        </w:rPr>
        <w:t>）财务管理，根据《基金会管理条例》</w:t>
      </w:r>
      <w:r>
        <w:rPr>
          <w:rFonts w:hint="eastAsia" w:asciiTheme="minorEastAsia" w:hAnsiTheme="minorEastAsia"/>
          <w:sz w:val="24"/>
          <w:szCs w:val="24"/>
          <w:lang w:eastAsia="zh-CN"/>
        </w:rPr>
        <w:t>、</w:t>
      </w:r>
      <w:r>
        <w:rPr>
          <w:rFonts w:hint="eastAsia" w:asciiTheme="minorEastAsia" w:hAnsiTheme="minorEastAsia"/>
          <w:sz w:val="24"/>
          <w:szCs w:val="24"/>
        </w:rPr>
        <w:t>《民间非营利组织会计制度》和《教育部</w:t>
      </w:r>
      <w:r>
        <w:rPr>
          <w:rFonts w:hint="eastAsia" w:asciiTheme="minorEastAsia" w:hAnsiTheme="minorEastAsia"/>
          <w:sz w:val="24"/>
          <w:szCs w:val="24"/>
          <w:lang w:eastAsia="zh-CN"/>
        </w:rPr>
        <w:t>、</w:t>
      </w:r>
      <w:r>
        <w:rPr>
          <w:rFonts w:hint="eastAsia" w:asciiTheme="minorEastAsia" w:hAnsiTheme="minorEastAsia"/>
          <w:sz w:val="24"/>
          <w:szCs w:val="24"/>
        </w:rPr>
        <w:t>财政部</w:t>
      </w:r>
      <w:r>
        <w:rPr>
          <w:rFonts w:hint="eastAsia" w:asciiTheme="minorEastAsia" w:hAnsiTheme="minorEastAsia"/>
          <w:sz w:val="24"/>
          <w:szCs w:val="24"/>
          <w:lang w:eastAsia="zh-CN"/>
        </w:rPr>
        <w:t>、</w:t>
      </w:r>
      <w:r>
        <w:rPr>
          <w:rFonts w:hint="eastAsia" w:asciiTheme="minorEastAsia" w:hAnsiTheme="minorEastAsia"/>
          <w:sz w:val="24"/>
          <w:szCs w:val="24"/>
        </w:rPr>
        <w:t>民政部关于加强中央部门所属高校教育基金会财务管理的若干意见》等有关法律法规，结合基金会工作实际，制定本办法。</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asciiTheme="minorEastAsia" w:hAnsiTheme="minorEastAsia"/>
          <w:sz w:val="24"/>
          <w:szCs w:val="24"/>
        </w:rPr>
      </w:pPr>
      <w:r>
        <w:rPr>
          <w:rFonts w:hint="eastAsia" w:asciiTheme="minorEastAsia" w:hAnsiTheme="minorEastAsia"/>
          <w:sz w:val="24"/>
          <w:szCs w:val="24"/>
        </w:rPr>
        <w:t>基金会财务管理的基本原则：贯彻执行国家有关法律、法规和财务制度。严格、合理使用各项资金，在合法、安全、有效的前提下，维护捐赠人与受益人的合法权益，更好地发挥捐赠资金使用效益，促进教育事业发展</w:t>
      </w:r>
      <w:r>
        <w:rPr>
          <w:rFonts w:hint="eastAsia" w:asciiTheme="minorEastAsia" w:hAnsiTheme="minorEastAsia"/>
          <w:sz w:val="24"/>
          <w:szCs w:val="24"/>
          <w:lang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asciiTheme="minorEastAsia" w:hAnsiTheme="minorEastAsia"/>
          <w:sz w:val="24"/>
          <w:szCs w:val="24"/>
        </w:rPr>
      </w:pPr>
      <w:r>
        <w:rPr>
          <w:rFonts w:hint="eastAsia" w:asciiTheme="minorEastAsia" w:hAnsiTheme="minorEastAsia"/>
          <w:sz w:val="24"/>
          <w:szCs w:val="24"/>
        </w:rPr>
        <w:t>基金会财务管理的主要目标是：建立健全财务制度，规范财务行为；管理各项收入，降低筹资成本费用，合理调配运作资金；强化资产管理，实现资产保值增值；规范财务信息披露，依法进行财务公开。</w:t>
      </w:r>
    </w:p>
    <w:p>
      <w:pPr>
        <w:spacing w:line="240" w:lineRule="auto"/>
        <w:ind w:firstLine="560" w:firstLineChars="200"/>
        <w:jc w:val="center"/>
        <w:rPr>
          <w:rFonts w:asciiTheme="minorEastAsia" w:hAnsiTheme="minorEastAsia"/>
          <w:b w:val="0"/>
          <w:bCs w:val="0"/>
          <w:sz w:val="28"/>
          <w:szCs w:val="28"/>
        </w:rPr>
      </w:pPr>
      <w:r>
        <w:rPr>
          <w:rFonts w:hint="eastAsia" w:asciiTheme="minorEastAsia" w:hAnsiTheme="minorEastAsia"/>
          <w:b w:val="0"/>
          <w:bCs w:val="0"/>
          <w:sz w:val="28"/>
          <w:szCs w:val="28"/>
        </w:rPr>
        <w:t>第二章</w:t>
      </w:r>
      <w:r>
        <w:rPr>
          <w:rFonts w:hint="eastAsia" w:asciiTheme="minorEastAsia" w:hAnsiTheme="minorEastAsia"/>
          <w:b w:val="0"/>
          <w:bCs w:val="0"/>
          <w:sz w:val="28"/>
          <w:szCs w:val="28"/>
          <w:lang w:val="en-US" w:eastAsia="zh-CN"/>
        </w:rPr>
        <w:t xml:space="preserve">  </w:t>
      </w:r>
      <w:r>
        <w:rPr>
          <w:rFonts w:hint="eastAsia" w:asciiTheme="minorEastAsia" w:hAnsiTheme="minorEastAsia"/>
          <w:b w:val="0"/>
          <w:bCs w:val="0"/>
          <w:sz w:val="28"/>
          <w:szCs w:val="28"/>
        </w:rPr>
        <w:t>财务管理体制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lang w:val="en-US" w:eastAsia="zh-CN"/>
        </w:rPr>
        <w:t>本</w:t>
      </w:r>
      <w:r>
        <w:rPr>
          <w:rFonts w:hint="eastAsia" w:asciiTheme="minorEastAsia" w:hAnsiTheme="minorEastAsia"/>
          <w:sz w:val="24"/>
          <w:szCs w:val="24"/>
        </w:rPr>
        <w:t>基金会执行《民间非营利组织会计制度》，实行“统一领导，集中核算”的财务管理体制。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基金会最高权力机构是理事会。基金会理事会审议年度收支预算决算和财务报告，并决定财务工作中的重大事项。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基金会的财务人员必须具备从事财务工作的专业知识和技能，熟悉国家有关法律、法规和相关财务会计制度，遵守职业道德。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b/>
          <w:bCs/>
          <w:sz w:val="24"/>
          <w:szCs w:val="24"/>
        </w:rPr>
      </w:pPr>
      <w:r>
        <w:rPr>
          <w:rFonts w:hint="eastAsia" w:asciiTheme="minorEastAsia" w:hAnsiTheme="minorEastAsia"/>
          <w:sz w:val="24"/>
          <w:szCs w:val="24"/>
        </w:rPr>
        <w:t>监事会依照章程规定的程序检查基金会财务和会计资料。基金会进行年检（年报）、换届、更换法定代表人以及清算时，应当进行财务审计。</w:t>
      </w:r>
    </w:p>
    <w:p>
      <w:pPr>
        <w:pStyle w:val="5"/>
        <w:numPr>
          <w:numId w:val="0"/>
        </w:numPr>
        <w:spacing w:line="240" w:lineRule="auto"/>
        <w:ind w:leftChars="0"/>
        <w:jc w:val="center"/>
        <w:rPr>
          <w:rFonts w:hint="eastAsia" w:asciiTheme="minorEastAsia" w:hAnsiTheme="minorEastAsia"/>
          <w:b w:val="0"/>
          <w:bCs w:val="0"/>
          <w:sz w:val="28"/>
          <w:szCs w:val="28"/>
        </w:rPr>
      </w:pPr>
      <w:r>
        <w:rPr>
          <w:rFonts w:hint="eastAsia" w:asciiTheme="minorEastAsia" w:hAnsiTheme="minorEastAsia"/>
          <w:b w:val="0"/>
          <w:bCs w:val="0"/>
          <w:sz w:val="28"/>
          <w:szCs w:val="28"/>
        </w:rPr>
        <w:t>第三章</w:t>
      </w:r>
      <w:r>
        <w:rPr>
          <w:rFonts w:hint="eastAsia" w:asciiTheme="minorEastAsia" w:hAnsiTheme="minorEastAsia"/>
          <w:b w:val="0"/>
          <w:bCs w:val="0"/>
          <w:sz w:val="28"/>
          <w:szCs w:val="28"/>
          <w:lang w:val="en-US" w:eastAsia="zh-CN"/>
        </w:rPr>
        <w:t xml:space="preserve">  </w:t>
      </w:r>
      <w:r>
        <w:rPr>
          <w:rFonts w:hint="eastAsia" w:asciiTheme="minorEastAsia" w:hAnsiTheme="minorEastAsia"/>
          <w:b w:val="0"/>
          <w:bCs w:val="0"/>
          <w:sz w:val="28"/>
          <w:szCs w:val="28"/>
        </w:rPr>
        <w:t>收入管理</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b w:val="0"/>
          <w:bCs w:val="0"/>
          <w:sz w:val="24"/>
          <w:szCs w:val="24"/>
        </w:rPr>
      </w:pPr>
      <w:r>
        <w:rPr>
          <w:rFonts w:hint="eastAsia" w:asciiTheme="minorEastAsia" w:hAnsiTheme="minorEastAsia"/>
          <w:b w:val="0"/>
          <w:bCs w:val="0"/>
          <w:sz w:val="24"/>
          <w:szCs w:val="24"/>
        </w:rPr>
        <w:t>基金会收入按其来源分为捐赠收入、投资收益和其他收入等。</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b w:val="0"/>
          <w:bCs w:val="0"/>
          <w:sz w:val="24"/>
          <w:szCs w:val="24"/>
        </w:rPr>
      </w:pPr>
      <w:r>
        <w:rPr>
          <w:rFonts w:hint="eastAsia" w:asciiTheme="minorEastAsia" w:hAnsiTheme="minorEastAsia"/>
          <w:b w:val="0"/>
          <w:bCs w:val="0"/>
          <w:sz w:val="24"/>
          <w:szCs w:val="24"/>
        </w:rPr>
        <w:t>捐赠收入，是指接受捐赠单位或者个人的捐赠取得的收入，包括捐赠资金和捐赠实物</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rPr>
        <w:t>投资收益，是指将基金会的资金按照合法、安全、有效的原则实现保值、增值获得的收入</w:t>
      </w:r>
      <w:r>
        <w:rPr>
          <w:rFonts w:hint="eastAsia" w:asciiTheme="minorEastAsia" w:hAnsiTheme="minorEastAsia"/>
          <w:b w:val="0"/>
          <w:bCs w:val="0"/>
          <w:sz w:val="24"/>
          <w:szCs w:val="24"/>
          <w:lang w:eastAsia="zh-CN"/>
        </w:rPr>
        <w:t>；</w:t>
      </w:r>
      <w:r>
        <w:rPr>
          <w:rFonts w:hint="eastAsia" w:asciiTheme="minorEastAsia" w:hAnsiTheme="minorEastAsia"/>
          <w:b w:val="0"/>
          <w:bCs w:val="0"/>
          <w:sz w:val="24"/>
          <w:szCs w:val="24"/>
        </w:rPr>
        <w:t>其他收入，是指除上述主要业务活动收入以外的其他收入，如银行利息收入、固定资产处置收入、无形资产处置收入等。</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asciiTheme="minorEastAsia" w:hAnsiTheme="minorEastAsia"/>
          <w:szCs w:val="21"/>
        </w:rPr>
      </w:pPr>
      <w:r>
        <w:rPr>
          <w:rFonts w:hint="eastAsia" w:asciiTheme="minorEastAsia" w:hAnsiTheme="minorEastAsia"/>
          <w:b w:val="0"/>
          <w:bCs w:val="0"/>
          <w:sz w:val="24"/>
          <w:szCs w:val="24"/>
        </w:rPr>
        <w:t>基金会获得的各类收入应当统一管理、统一核算，货币收入应当及时足额地纳入银行账户。基金会收到捐赠后应当据实开具捐赠票据。捐赠人不需要捐赠票据的，或者匿名捐赠的，捐赠票据开具后由基金会留存备查。</w:t>
      </w:r>
    </w:p>
    <w:p>
      <w:pPr>
        <w:pStyle w:val="5"/>
        <w:numPr>
          <w:numId w:val="0"/>
        </w:numPr>
        <w:spacing w:line="240" w:lineRule="auto"/>
        <w:ind w:leftChars="0"/>
        <w:jc w:val="center"/>
        <w:rPr>
          <w:rFonts w:asciiTheme="minorEastAsia" w:hAnsiTheme="minorEastAsia"/>
          <w:b w:val="0"/>
          <w:bCs w:val="0"/>
          <w:sz w:val="28"/>
          <w:szCs w:val="28"/>
        </w:rPr>
      </w:pPr>
      <w:r>
        <w:rPr>
          <w:rFonts w:hint="eastAsia" w:asciiTheme="minorEastAsia" w:hAnsiTheme="minorEastAsia"/>
          <w:b w:val="0"/>
          <w:bCs w:val="0"/>
          <w:sz w:val="28"/>
          <w:szCs w:val="28"/>
        </w:rPr>
        <w:t>第四章</w:t>
      </w:r>
      <w:r>
        <w:rPr>
          <w:rFonts w:hint="eastAsia" w:asciiTheme="minorEastAsia" w:hAnsiTheme="minorEastAsia"/>
          <w:b w:val="0"/>
          <w:bCs w:val="0"/>
          <w:sz w:val="28"/>
          <w:szCs w:val="28"/>
          <w:lang w:val="en-US" w:eastAsia="zh-CN"/>
        </w:rPr>
        <w:t xml:space="preserve">  </w:t>
      </w:r>
      <w:r>
        <w:rPr>
          <w:rFonts w:hint="eastAsia" w:asciiTheme="minorEastAsia" w:hAnsiTheme="minorEastAsia"/>
          <w:b w:val="0"/>
          <w:bCs w:val="0"/>
          <w:sz w:val="28"/>
          <w:szCs w:val="28"/>
        </w:rPr>
        <w:t>费用管理</w:t>
      </w:r>
    </w:p>
    <w:p>
      <w:pPr>
        <w:pStyle w:val="5"/>
        <w:numPr>
          <w:ilvl w:val="0"/>
          <w:numId w:val="4"/>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费用按其功能分为业务活动成本、管理费用、筹资费用、其他费用。</w:t>
      </w:r>
    </w:p>
    <w:p>
      <w:pPr>
        <w:pStyle w:val="5"/>
        <w:numPr>
          <w:ilvl w:val="0"/>
          <w:numId w:val="4"/>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业务活动成本，是指基金会为了实现其业务活动目标、开展其项目活动或者提供服务所发生的费用，包括直接用于受助人的款物和开展公益项目发生的直接运行费用</w:t>
      </w:r>
      <w:r>
        <w:rPr>
          <w:rFonts w:hint="eastAsia" w:asciiTheme="minorEastAsia" w:hAnsiTheme="minorEastAsia"/>
          <w:szCs w:val="21"/>
          <w:lang w:eastAsia="zh-CN"/>
        </w:rPr>
        <w:t>；</w:t>
      </w:r>
      <w:r>
        <w:rPr>
          <w:rFonts w:hint="eastAsia" w:asciiTheme="minorEastAsia" w:hAnsiTheme="minorEastAsia"/>
          <w:szCs w:val="21"/>
        </w:rPr>
        <w:t>管理费用，主要是指基金会为组织和管理业务活动所发生的各项费用，包括基金会工作人员工资福利和基金会行政办公支出</w:t>
      </w:r>
      <w:r>
        <w:rPr>
          <w:rFonts w:hint="eastAsia" w:asciiTheme="minorEastAsia" w:hAnsiTheme="minorEastAsia"/>
          <w:szCs w:val="21"/>
          <w:lang w:eastAsia="zh-CN"/>
        </w:rPr>
        <w:t>；</w:t>
      </w:r>
      <w:r>
        <w:rPr>
          <w:rFonts w:hint="eastAsia" w:asciiTheme="minorEastAsia" w:hAnsiTheme="minorEastAsia"/>
          <w:szCs w:val="21"/>
        </w:rPr>
        <w:t>筹资费用，主要是指基金会为筹集业务活动所需资金而发生的费用</w:t>
      </w:r>
      <w:r>
        <w:rPr>
          <w:rFonts w:hint="eastAsia" w:asciiTheme="minorEastAsia" w:hAnsiTheme="minorEastAsia"/>
          <w:szCs w:val="21"/>
          <w:lang w:eastAsia="zh-CN"/>
        </w:rPr>
        <w:t>；</w:t>
      </w:r>
      <w:r>
        <w:rPr>
          <w:rFonts w:hint="eastAsia" w:asciiTheme="minorEastAsia" w:hAnsiTheme="minorEastAsia"/>
          <w:szCs w:val="21"/>
        </w:rPr>
        <w:t>其他费用，主要是指基金会发生的无法归属又确需开支的费用。</w:t>
      </w:r>
    </w:p>
    <w:p>
      <w:pPr>
        <w:pStyle w:val="5"/>
        <w:numPr>
          <w:ilvl w:val="0"/>
          <w:numId w:val="4"/>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基金会发生的各类费用，在实际发生时按其发生额计入当期费用。基金会的各项费用应当严格执行国家和基金会等有关财务规章制度规定的开支范围及开支标准。</w:t>
      </w:r>
    </w:p>
    <w:p>
      <w:pPr>
        <w:pStyle w:val="5"/>
        <w:numPr>
          <w:ilvl w:val="0"/>
          <w:numId w:val="4"/>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基金会重大业务活动计划，包括资金的募集、管理和使用计划等重大经济事项须经理事会讨论决定。基金会应当加强内控管理，规范财务行为。</w:t>
      </w:r>
    </w:p>
    <w:p>
      <w:pPr>
        <w:pStyle w:val="5"/>
        <w:numPr>
          <w:ilvl w:val="0"/>
          <w:numId w:val="4"/>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基金会资助学校的项目，在使用时可转至学校进行财务明细核算。学校对于基金会转来的资助项目，应当准确完整核算经费使用情况。</w:t>
      </w:r>
    </w:p>
    <w:p>
      <w:pPr>
        <w:pStyle w:val="5"/>
        <w:numPr>
          <w:numId w:val="0"/>
        </w:numPr>
        <w:spacing w:line="240" w:lineRule="auto"/>
        <w:ind w:leftChars="0"/>
        <w:jc w:val="center"/>
        <w:rPr>
          <w:rFonts w:asciiTheme="minorEastAsia" w:hAnsiTheme="minorEastAsia"/>
          <w:b w:val="0"/>
          <w:bCs w:val="0"/>
          <w:sz w:val="28"/>
          <w:szCs w:val="28"/>
        </w:rPr>
      </w:pPr>
      <w:r>
        <w:rPr>
          <w:rFonts w:hint="eastAsia" w:asciiTheme="minorEastAsia" w:hAnsiTheme="minorEastAsia"/>
          <w:b w:val="0"/>
          <w:bCs w:val="0"/>
          <w:sz w:val="28"/>
          <w:szCs w:val="28"/>
        </w:rPr>
        <w:t>第五章</w:t>
      </w:r>
      <w:r>
        <w:rPr>
          <w:rFonts w:hint="eastAsia" w:asciiTheme="minorEastAsia" w:hAnsiTheme="minorEastAsia"/>
          <w:b w:val="0"/>
          <w:bCs w:val="0"/>
          <w:sz w:val="28"/>
          <w:szCs w:val="28"/>
          <w:lang w:val="en-US" w:eastAsia="zh-CN"/>
        </w:rPr>
        <w:t xml:space="preserve">  </w:t>
      </w:r>
      <w:r>
        <w:rPr>
          <w:rFonts w:hint="eastAsia" w:asciiTheme="minorEastAsia" w:hAnsiTheme="minorEastAsia"/>
          <w:b w:val="0"/>
          <w:bCs w:val="0"/>
          <w:sz w:val="28"/>
          <w:szCs w:val="28"/>
        </w:rPr>
        <w:t>财务报告</w:t>
      </w:r>
    </w:p>
    <w:p>
      <w:pPr>
        <w:pStyle w:val="5"/>
        <w:numPr>
          <w:ilvl w:val="0"/>
          <w:numId w:val="5"/>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财务报告是基金会财务状况、业务活动情况和现金流量等的年度总结，财务报告要做到数字准确、内容完整、账表相符、报送及时。财务报告包括会计报表、会计报表附注和财务情况说明书，会计报表包括《资产负债表》</w:t>
      </w:r>
      <w:r>
        <w:rPr>
          <w:rFonts w:hint="eastAsia" w:asciiTheme="minorEastAsia" w:hAnsiTheme="minorEastAsia"/>
          <w:szCs w:val="21"/>
          <w:lang w:eastAsia="zh-CN"/>
        </w:rPr>
        <w:t>、</w:t>
      </w:r>
      <w:r>
        <w:rPr>
          <w:rFonts w:hint="eastAsia" w:asciiTheme="minorEastAsia" w:hAnsiTheme="minorEastAsia"/>
          <w:szCs w:val="21"/>
        </w:rPr>
        <w:t>《业务活动表》和《现金流量表》。</w:t>
      </w:r>
    </w:p>
    <w:p>
      <w:pPr>
        <w:pStyle w:val="5"/>
        <w:numPr>
          <w:ilvl w:val="0"/>
          <w:numId w:val="5"/>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基金会的年度财务报告应当接受具有相应资质的会计师事务所的审计。基金会的年度财务报告和审计报告情况，应当及时向理事会和监事会汇报。</w:t>
      </w:r>
    </w:p>
    <w:p>
      <w:pPr>
        <w:pStyle w:val="5"/>
        <w:numPr>
          <w:ilvl w:val="0"/>
          <w:numId w:val="0"/>
        </w:numPr>
        <w:spacing w:line="240" w:lineRule="auto"/>
        <w:ind w:leftChars="0"/>
        <w:jc w:val="center"/>
        <w:rPr>
          <w:rFonts w:hint="eastAsia" w:asciiTheme="minorEastAsia" w:hAnsiTheme="minorEastAsia"/>
          <w:b w:val="0"/>
          <w:bCs w:val="0"/>
          <w:sz w:val="28"/>
          <w:szCs w:val="28"/>
        </w:rPr>
      </w:pPr>
      <w:r>
        <w:rPr>
          <w:rFonts w:hint="eastAsia" w:asciiTheme="minorEastAsia" w:hAnsiTheme="minorEastAsia"/>
          <w:b w:val="0"/>
          <w:bCs w:val="0"/>
          <w:sz w:val="28"/>
          <w:szCs w:val="28"/>
        </w:rPr>
        <w:t>第</w:t>
      </w:r>
      <w:r>
        <w:rPr>
          <w:rFonts w:hint="eastAsia" w:asciiTheme="minorEastAsia" w:hAnsiTheme="minorEastAsia"/>
          <w:b w:val="0"/>
          <w:bCs w:val="0"/>
          <w:sz w:val="28"/>
          <w:szCs w:val="28"/>
          <w:lang w:val="en-US" w:eastAsia="zh-CN"/>
        </w:rPr>
        <w:t>六</w:t>
      </w:r>
      <w:r>
        <w:rPr>
          <w:rFonts w:hint="eastAsia" w:asciiTheme="minorEastAsia" w:hAnsiTheme="minorEastAsia"/>
          <w:b w:val="0"/>
          <w:bCs w:val="0"/>
          <w:sz w:val="28"/>
          <w:szCs w:val="28"/>
        </w:rPr>
        <w:t>章</w:t>
      </w:r>
      <w:r>
        <w:rPr>
          <w:rFonts w:hint="eastAsia" w:asciiTheme="minorEastAsia" w:hAnsiTheme="minorEastAsia"/>
          <w:b w:val="0"/>
          <w:bCs w:val="0"/>
          <w:sz w:val="28"/>
          <w:szCs w:val="28"/>
          <w:lang w:val="en-US" w:eastAsia="zh-CN"/>
        </w:rPr>
        <w:t xml:space="preserve">  </w:t>
      </w:r>
      <w:r>
        <w:rPr>
          <w:rFonts w:hint="eastAsia" w:asciiTheme="minorEastAsia" w:hAnsiTheme="minorEastAsia"/>
          <w:b w:val="0"/>
          <w:bCs w:val="0"/>
          <w:sz w:val="28"/>
          <w:szCs w:val="28"/>
        </w:rPr>
        <w:t>信息公开和财务监督</w:t>
      </w:r>
    </w:p>
    <w:p>
      <w:pPr>
        <w:numPr>
          <w:ilvl w:val="0"/>
          <w:numId w:val="6"/>
        </w:numPr>
        <w:spacing w:line="360" w:lineRule="auto"/>
        <w:ind w:left="0" w:leftChars="0" w:firstLine="420" w:firstLineChars="200"/>
        <w:jc w:val="left"/>
        <w:rPr>
          <w:rFonts w:hint="eastAsia" w:asciiTheme="minorEastAsia" w:hAnsiTheme="minorEastAsia"/>
          <w:szCs w:val="21"/>
        </w:rPr>
      </w:pPr>
      <w:r>
        <w:rPr>
          <w:rFonts w:hint="eastAsia" w:asciiTheme="minorEastAsia" w:hAnsiTheme="minorEastAsia"/>
          <w:szCs w:val="21"/>
        </w:rPr>
        <w:t>基金会年度工作报告应当在登记管理机关指定的媒体及基金会网站上公布。基金会的信息公布工作，应当符合《基金会信息公布办法》</w:t>
      </w:r>
      <w:r>
        <w:rPr>
          <w:rFonts w:hint="eastAsia" w:asciiTheme="minorEastAsia" w:hAnsiTheme="minorEastAsia"/>
          <w:szCs w:val="21"/>
          <w:lang w:eastAsia="zh-CN"/>
        </w:rPr>
        <w:t>、</w:t>
      </w:r>
      <w:r>
        <w:rPr>
          <w:rFonts w:hint="eastAsia" w:asciiTheme="minorEastAsia" w:hAnsiTheme="minorEastAsia"/>
          <w:szCs w:val="21"/>
        </w:rPr>
        <w:t>《关于规范基金会行为的若干规定（试行）》的要求。</w:t>
      </w:r>
    </w:p>
    <w:p>
      <w:pPr>
        <w:numPr>
          <w:ilvl w:val="0"/>
          <w:numId w:val="6"/>
        </w:numPr>
        <w:spacing w:line="360" w:lineRule="auto"/>
        <w:ind w:left="0" w:leftChars="0" w:firstLine="420" w:firstLineChars="200"/>
        <w:jc w:val="left"/>
        <w:rPr>
          <w:rFonts w:asciiTheme="minorEastAsia" w:hAnsiTheme="minorEastAsia"/>
          <w:szCs w:val="21"/>
        </w:rPr>
      </w:pPr>
      <w:r>
        <w:rPr>
          <w:rFonts w:hint="eastAsia" w:asciiTheme="minorEastAsia" w:hAnsiTheme="minorEastAsia"/>
          <w:szCs w:val="21"/>
        </w:rPr>
        <w:t>基金会应当建立健全单位内部控制制度，按照登记管理机关、业务主管单位的要求进行审计，并自觉接受税务、会计等主管部门的监督。</w:t>
      </w:r>
    </w:p>
    <w:p>
      <w:pPr>
        <w:spacing w:line="240" w:lineRule="auto"/>
        <w:ind w:firstLine="560" w:firstLineChars="200"/>
        <w:jc w:val="center"/>
        <w:rPr>
          <w:rFonts w:asciiTheme="minorEastAsia" w:hAnsiTheme="minorEastAsia"/>
          <w:b w:val="0"/>
          <w:bCs w:val="0"/>
          <w:sz w:val="28"/>
          <w:szCs w:val="28"/>
        </w:rPr>
      </w:pPr>
      <w:r>
        <w:rPr>
          <w:rFonts w:hint="eastAsia" w:asciiTheme="minorEastAsia" w:hAnsiTheme="minorEastAsia"/>
          <w:b w:val="0"/>
          <w:bCs w:val="0"/>
          <w:sz w:val="28"/>
          <w:szCs w:val="28"/>
        </w:rPr>
        <w:t>第</w:t>
      </w:r>
      <w:r>
        <w:rPr>
          <w:rFonts w:hint="eastAsia" w:asciiTheme="minorEastAsia" w:hAnsiTheme="minorEastAsia"/>
          <w:b w:val="0"/>
          <w:bCs w:val="0"/>
          <w:sz w:val="28"/>
          <w:szCs w:val="28"/>
          <w:lang w:val="en-US" w:eastAsia="zh-CN"/>
        </w:rPr>
        <w:t>七</w:t>
      </w:r>
      <w:r>
        <w:rPr>
          <w:rFonts w:hint="eastAsia" w:asciiTheme="minorEastAsia" w:hAnsiTheme="minorEastAsia"/>
          <w:b w:val="0"/>
          <w:bCs w:val="0"/>
          <w:sz w:val="28"/>
          <w:szCs w:val="28"/>
        </w:rPr>
        <w:t>章</w:t>
      </w:r>
      <w:r>
        <w:rPr>
          <w:rFonts w:hint="eastAsia" w:asciiTheme="minorEastAsia" w:hAnsiTheme="minorEastAsia"/>
          <w:b w:val="0"/>
          <w:bCs w:val="0"/>
          <w:sz w:val="28"/>
          <w:szCs w:val="28"/>
          <w:lang w:val="en-US" w:eastAsia="zh-CN"/>
        </w:rPr>
        <w:t xml:space="preserve">  </w:t>
      </w:r>
      <w:r>
        <w:rPr>
          <w:rFonts w:hint="eastAsia" w:asciiTheme="minorEastAsia" w:hAnsiTheme="minorEastAsia"/>
          <w:b w:val="0"/>
          <w:bCs w:val="0"/>
          <w:sz w:val="28"/>
          <w:szCs w:val="28"/>
        </w:rPr>
        <w:t>附则</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Cs w:val="21"/>
        </w:rPr>
      </w:pPr>
      <w:r>
        <w:rPr>
          <w:rFonts w:hint="eastAsia" w:asciiTheme="minorEastAsia" w:hAnsiTheme="minorEastAsia"/>
          <w:szCs w:val="21"/>
        </w:rPr>
        <w:t>本办法自颁布之日起施行</w:t>
      </w:r>
      <w:r>
        <w:rPr>
          <w:rFonts w:hint="eastAsia" w:asciiTheme="minorEastAsia" w:hAnsiTheme="minorEastAsia"/>
          <w:szCs w:val="21"/>
          <w:lang w:eastAsia="zh-CN"/>
        </w:rPr>
        <w:t>，</w:t>
      </w:r>
      <w:r>
        <w:rPr>
          <w:rFonts w:hint="eastAsia" w:asciiTheme="minorEastAsia" w:hAnsiTheme="minorEastAsia"/>
          <w:szCs w:val="21"/>
        </w:rPr>
        <w:t>由泉州理工教育基金会负责</w:t>
      </w:r>
      <w:r>
        <w:rPr>
          <w:rFonts w:hint="eastAsia" w:asciiTheme="minorEastAsia" w:hAnsiTheme="minorEastAsia"/>
          <w:szCs w:val="21"/>
          <w:lang w:val="en-US" w:eastAsia="zh-CN"/>
        </w:rPr>
        <w:t>解释</w:t>
      </w:r>
      <w:r>
        <w:rPr>
          <w:rFonts w:hint="eastAsia" w:asciiTheme="minorEastAsia" w:hAnsiTheme="minorEastAsia"/>
          <w:szCs w:val="21"/>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Cs w:val="21"/>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Cs w:val="21"/>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Cs w:val="21"/>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firstLineChars="200"/>
        <w:jc w:val="right"/>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泉州理工教育基金会</w:t>
      </w: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B5D3C"/>
    <w:multiLevelType w:val="singleLevel"/>
    <w:tmpl w:val="C80B5D3C"/>
    <w:lvl w:ilvl="0" w:tentative="0">
      <w:start w:val="1"/>
      <w:numFmt w:val="decimal"/>
      <w:suff w:val="nothing"/>
      <w:lvlText w:val="%1．"/>
      <w:lvlJc w:val="left"/>
      <w:pPr>
        <w:ind w:left="0" w:firstLine="400"/>
      </w:pPr>
      <w:rPr>
        <w:rFonts w:hint="default"/>
      </w:rPr>
    </w:lvl>
  </w:abstractNum>
  <w:abstractNum w:abstractNumId="1">
    <w:nsid w:val="CD3EDCC8"/>
    <w:multiLevelType w:val="singleLevel"/>
    <w:tmpl w:val="CD3EDCC8"/>
    <w:lvl w:ilvl="0" w:tentative="0">
      <w:start w:val="1"/>
      <w:numFmt w:val="decimal"/>
      <w:suff w:val="nothing"/>
      <w:lvlText w:val="%1．"/>
      <w:lvlJc w:val="left"/>
      <w:pPr>
        <w:ind w:left="0" w:firstLine="400"/>
      </w:pPr>
      <w:rPr>
        <w:rFonts w:hint="default"/>
      </w:rPr>
    </w:lvl>
  </w:abstractNum>
  <w:abstractNum w:abstractNumId="2">
    <w:nsid w:val="DCC44B8F"/>
    <w:multiLevelType w:val="singleLevel"/>
    <w:tmpl w:val="DCC44B8F"/>
    <w:lvl w:ilvl="0" w:tentative="0">
      <w:start w:val="1"/>
      <w:numFmt w:val="decimal"/>
      <w:suff w:val="nothing"/>
      <w:lvlText w:val="%1．"/>
      <w:lvlJc w:val="left"/>
      <w:pPr>
        <w:ind w:left="0" w:firstLine="400"/>
      </w:pPr>
      <w:rPr>
        <w:rFonts w:hint="default"/>
      </w:rPr>
    </w:lvl>
  </w:abstractNum>
  <w:abstractNum w:abstractNumId="3">
    <w:nsid w:val="2EB31AC9"/>
    <w:multiLevelType w:val="singleLevel"/>
    <w:tmpl w:val="2EB31AC9"/>
    <w:lvl w:ilvl="0" w:tentative="0">
      <w:start w:val="1"/>
      <w:numFmt w:val="decimal"/>
      <w:suff w:val="nothing"/>
      <w:lvlText w:val="%1．"/>
      <w:lvlJc w:val="left"/>
      <w:pPr>
        <w:ind w:left="0" w:firstLine="400"/>
      </w:pPr>
      <w:rPr>
        <w:rFonts w:hint="default"/>
        <w:b w:val="0"/>
        <w:bCs w:val="0"/>
        <w:sz w:val="24"/>
        <w:szCs w:val="24"/>
      </w:rPr>
    </w:lvl>
  </w:abstractNum>
  <w:abstractNum w:abstractNumId="4">
    <w:nsid w:val="3B75AA6E"/>
    <w:multiLevelType w:val="singleLevel"/>
    <w:tmpl w:val="3B75AA6E"/>
    <w:lvl w:ilvl="0" w:tentative="0">
      <w:start w:val="1"/>
      <w:numFmt w:val="decimal"/>
      <w:suff w:val="nothing"/>
      <w:lvlText w:val="%1．"/>
      <w:lvlJc w:val="left"/>
      <w:pPr>
        <w:ind w:left="0" w:firstLine="400"/>
      </w:pPr>
      <w:rPr>
        <w:rFonts w:hint="default"/>
      </w:rPr>
    </w:lvl>
  </w:abstractNum>
  <w:abstractNum w:abstractNumId="5">
    <w:nsid w:val="6781303E"/>
    <w:multiLevelType w:val="singleLevel"/>
    <w:tmpl w:val="6781303E"/>
    <w:lvl w:ilvl="0" w:tentative="0">
      <w:start w:val="1"/>
      <w:numFmt w:val="decimal"/>
      <w:suff w:val="nothing"/>
      <w:lvlText w:val="%1．"/>
      <w:lvlJc w:val="left"/>
      <w:pPr>
        <w:ind w:left="0" w:firstLine="400"/>
      </w:pPr>
      <w:rPr>
        <w:rFont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AC"/>
    <w:rsid w:val="000076AC"/>
    <w:rsid w:val="0006562E"/>
    <w:rsid w:val="00293C70"/>
    <w:rsid w:val="002D4679"/>
    <w:rsid w:val="00311406"/>
    <w:rsid w:val="003444C8"/>
    <w:rsid w:val="005D7B4B"/>
    <w:rsid w:val="009B0B5C"/>
    <w:rsid w:val="00AF78B3"/>
    <w:rsid w:val="00DE4A0F"/>
    <w:rsid w:val="7E1C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581</Words>
  <Characters>3315</Characters>
  <Lines>27</Lines>
  <Paragraphs>7</Paragraphs>
  <TotalTime>2</TotalTime>
  <ScaleCrop>false</ScaleCrop>
  <LinksUpToDate>false</LinksUpToDate>
  <CharactersWithSpaces>3889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2021-07-10T09:09:00Z</dcterms:created>
  <dc:creator>8615260520419</dc:creator>
  <cp:lastModifiedBy>admin</cp:lastModifiedBy>
  <dcterms:modified xsi:type="dcterms:W3CDTF">2021-07-11T03:45:59Z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ABE48180E6324AF9A5F6F59C929EEE12</vt:lpwstr>
  </property>
</Properties>
</file>